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D85F4F"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10 от «4» июня 2020</w:t>
            </w:r>
            <w:r w:rsidR="007342DD" w:rsidRPr="007342DD">
              <w:rPr>
                <w:rFonts w:ascii="Times New Roman" w:eastAsia="Times New Roman" w:hAnsi="Times New Roman" w:cs="Times New Roman"/>
                <w:sz w:val="28"/>
                <w:szCs w:val="28"/>
                <w:lang w:eastAsia="ru-RU"/>
              </w:rPr>
              <w:t xml:space="preserve">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roofErr w:type="spellStart"/>
            <w:proofErr w:type="gramStart"/>
            <w:r w:rsidRPr="007342DD">
              <w:rPr>
                <w:rFonts w:ascii="Times New Roman" w:eastAsia="Times New Roman" w:hAnsi="Times New Roman" w:cs="Times New Roman"/>
                <w:sz w:val="28"/>
                <w:szCs w:val="28"/>
                <w:lang w:eastAsia="ru-RU"/>
              </w:rPr>
              <w:t>Зав.кафедрой</w:t>
            </w:r>
            <w:proofErr w:type="spellEnd"/>
            <w:r w:rsidRPr="007342DD">
              <w:rPr>
                <w:rFonts w:ascii="Times New Roman" w:eastAsia="Times New Roman" w:hAnsi="Times New Roman" w:cs="Times New Roman"/>
                <w:sz w:val="28"/>
                <w:szCs w:val="28"/>
                <w:lang w:eastAsia="ru-RU"/>
              </w:rPr>
              <w:t xml:space="preserve">  _</w:t>
            </w:r>
            <w:proofErr w:type="gramEnd"/>
            <w:r w:rsidRPr="007342DD">
              <w:rPr>
                <w:rFonts w:ascii="Times New Roman" w:eastAsia="Times New Roman" w:hAnsi="Times New Roman" w:cs="Times New Roman"/>
                <w:sz w:val="28"/>
                <w:szCs w:val="28"/>
                <w:lang w:eastAsia="ru-RU"/>
              </w:rPr>
              <w:t>_________Белов</w:t>
            </w:r>
            <w:bookmarkStart w:id="0" w:name="_GoBack"/>
            <w:bookmarkEnd w:id="0"/>
            <w:r w:rsidRPr="007342DD">
              <w:rPr>
                <w:rFonts w:ascii="Times New Roman" w:eastAsia="Times New Roman" w:hAnsi="Times New Roman" w:cs="Times New Roman"/>
                <w:sz w:val="28"/>
                <w:szCs w:val="28"/>
                <w:lang w:eastAsia="ru-RU"/>
              </w:rPr>
              <w:t xml:space="preserve">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7E2559"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УПРАВЛЕНИЕ ЧЕЛОВЕЧЕСКИМИ РЕСУРСАМИ</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E67B38" w:rsidRDefault="00323B59"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Pr>
          <w:rFonts w:ascii="Times New Roman" w:hAnsi="Times New Roman" w:cs="Times New Roman"/>
          <w:color w:val="000000"/>
          <w:sz w:val="28"/>
          <w:szCs w:val="28"/>
          <w:u w:val="single"/>
        </w:rPr>
        <w:t>38.03.02</w:t>
      </w:r>
      <w:r w:rsidR="00E67B38" w:rsidRPr="00E67B38">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Менеджмент</w:t>
      </w:r>
      <w:r w:rsidR="00E67B38" w:rsidRPr="00E67B38">
        <w:rPr>
          <w:rFonts w:ascii="Times New Roman" w:hAnsi="Times New Roman" w:cs="Times New Roman"/>
          <w:color w:val="000000"/>
          <w:sz w:val="28"/>
          <w:szCs w:val="28"/>
          <w:u w:val="single"/>
        </w:rPr>
        <w:t>"</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2559">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2559">
              <w:rPr>
                <w:rFonts w:ascii="Times New Roman" w:eastAsia="Times New Roman" w:hAnsi="Times New Roman" w:cs="Times New Roman"/>
                <w:sz w:val="28"/>
                <w:szCs w:val="28"/>
                <w:lang w:eastAsia="ru-RU"/>
              </w:rPr>
              <w:t>БУРМИСТРОВ С.В.</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7342DD" w:rsidRPr="007342DD" w:rsidRDefault="00D85F4F" w:rsidP="007342DD">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Ростов-на-Дону, 2020</w:t>
      </w:r>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3</w:t>
      </w:r>
      <w:r w:rsidR="004115CD" w:rsidRPr="00767F0E">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4</w:t>
      </w:r>
      <w:r w:rsidR="004115CD" w:rsidRPr="00767F0E">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5</w:t>
      </w:r>
      <w:r w:rsidR="004115CD" w:rsidRPr="00767F0E">
        <w:rPr>
          <w:rFonts w:ascii="Times New Roman" w:hAnsi="Times New Roman" w:cs="Times New Roman"/>
          <w:sz w:val="28"/>
          <w:szCs w:val="28"/>
        </w:rPr>
        <w:t xml:space="preserve">. Порядок организации самостоятельной работы студентов </w:t>
      </w:r>
    </w:p>
    <w:p w:rsidR="00767F0E" w:rsidRPr="00767F0E" w:rsidRDefault="00767F0E" w:rsidP="00767F0E">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6. Методические рекомендации по подготовке к промежуточной аттестации</w:t>
      </w:r>
    </w:p>
    <w:p w:rsidR="00B22237" w:rsidRPr="00767F0E" w:rsidRDefault="00767F0E"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7</w:t>
      </w:r>
      <w:r w:rsidR="00B22237" w:rsidRPr="00767F0E">
        <w:rPr>
          <w:rFonts w:ascii="Times New Roman" w:hAnsi="Times New Roman" w:cs="Times New Roman"/>
          <w:sz w:val="28"/>
          <w:szCs w:val="28"/>
        </w:rPr>
        <w:t xml:space="preserve"> 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7E2559"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115CD" w:rsidRPr="004115CD">
        <w:rPr>
          <w:rFonts w:ascii="Times New Roman" w:hAnsi="Times New Roman" w:cs="Times New Roman"/>
          <w:sz w:val="28"/>
          <w:szCs w:val="28"/>
        </w:rPr>
        <w:t xml:space="preserve">аличие учебников, которые для студентов являются основным источником информации, </w:t>
      </w:r>
      <w:r>
        <w:rPr>
          <w:rFonts w:ascii="Times New Roman" w:hAnsi="Times New Roman" w:cs="Times New Roman"/>
          <w:sz w:val="28"/>
          <w:szCs w:val="28"/>
        </w:rPr>
        <w:t>не исключает ситуации</w:t>
      </w:r>
      <w:r w:rsidR="004115CD" w:rsidRPr="004115CD">
        <w:rPr>
          <w:rFonts w:ascii="Times New Roman" w:hAnsi="Times New Roman" w:cs="Times New Roman"/>
          <w:sz w:val="28"/>
          <w:szCs w:val="28"/>
        </w:rPr>
        <w:t xml:space="preserve">, когда изменения в законодательстве </w:t>
      </w:r>
      <w:r>
        <w:rPr>
          <w:rFonts w:ascii="Times New Roman" w:hAnsi="Times New Roman" w:cs="Times New Roman"/>
          <w:sz w:val="28"/>
          <w:szCs w:val="28"/>
        </w:rPr>
        <w:t xml:space="preserve">или возникновение научно-практических инноваций касающихся отдельных конкретных тем дисциплины еще </w:t>
      </w:r>
      <w:r w:rsidR="004115CD" w:rsidRPr="004115CD">
        <w:rPr>
          <w:rFonts w:ascii="Times New Roman" w:hAnsi="Times New Roman" w:cs="Times New Roman"/>
          <w:sz w:val="28"/>
          <w:szCs w:val="28"/>
        </w:rPr>
        <w:t>не нашли отражен</w:t>
      </w:r>
      <w:r>
        <w:rPr>
          <w:rFonts w:ascii="Times New Roman" w:hAnsi="Times New Roman" w:cs="Times New Roman"/>
          <w:sz w:val="28"/>
          <w:szCs w:val="28"/>
        </w:rPr>
        <w:t xml:space="preserve">ия в существующих учебниках либо когда </w:t>
      </w:r>
      <w:r w:rsidR="004115CD" w:rsidRPr="004115CD">
        <w:rPr>
          <w:rFonts w:ascii="Times New Roman" w:hAnsi="Times New Roman" w:cs="Times New Roman"/>
          <w:sz w:val="28"/>
          <w:szCs w:val="28"/>
        </w:rPr>
        <w:t xml:space="preserve">некоторые </w:t>
      </w:r>
      <w:r>
        <w:rPr>
          <w:rFonts w:ascii="Times New Roman" w:hAnsi="Times New Roman" w:cs="Times New Roman"/>
          <w:sz w:val="28"/>
          <w:szCs w:val="28"/>
        </w:rPr>
        <w:t>разделы учебников устарели. П</w:t>
      </w:r>
      <w:r w:rsidR="004115CD" w:rsidRPr="004115CD">
        <w:rPr>
          <w:rFonts w:ascii="Times New Roman" w:hAnsi="Times New Roman" w:cs="Times New Roman"/>
          <w:sz w:val="28"/>
          <w:szCs w:val="28"/>
        </w:rPr>
        <w:t>оэтому, лекции остаются основной формой обучения. Отдельные темы дисциплины бывают трудны для самостоятельного изучения студентами, поэтому</w:t>
      </w:r>
      <w:r>
        <w:rPr>
          <w:rFonts w:ascii="Times New Roman" w:hAnsi="Times New Roman" w:cs="Times New Roman"/>
          <w:sz w:val="28"/>
          <w:szCs w:val="28"/>
        </w:rPr>
        <w:t xml:space="preserve">, также, </w:t>
      </w:r>
      <w:r w:rsidR="004115CD" w:rsidRPr="004115CD">
        <w:rPr>
          <w:rFonts w:ascii="Times New Roman" w:hAnsi="Times New Roman" w:cs="Times New Roman"/>
          <w:sz w:val="28"/>
          <w:szCs w:val="28"/>
        </w:rPr>
        <w:t xml:space="preserve">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w:t>
      </w:r>
      <w:r>
        <w:rPr>
          <w:rFonts w:ascii="Times New Roman" w:hAnsi="Times New Roman" w:cs="Times New Roman"/>
          <w:sz w:val="28"/>
          <w:szCs w:val="28"/>
        </w:rPr>
        <w:t>Таким образом,</w:t>
      </w:r>
      <w:r w:rsidR="004115CD" w:rsidRPr="004115CD">
        <w:rPr>
          <w:rFonts w:ascii="Times New Roman" w:hAnsi="Times New Roman" w:cs="Times New Roman"/>
          <w:sz w:val="28"/>
          <w:szCs w:val="28"/>
        </w:rPr>
        <w:t xml:space="preserve">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w:t>
      </w:r>
      <w:r w:rsidR="009E5407">
        <w:rPr>
          <w:rFonts w:ascii="Times New Roman" w:hAnsi="Times New Roman" w:cs="Times New Roman"/>
          <w:sz w:val="28"/>
          <w:szCs w:val="28"/>
        </w:rPr>
        <w:t xml:space="preserve">ждения и внесения предложений касающихся оценочных технологий и методов управления человеческими ресурсами организаций и </w:t>
      </w:r>
      <w:proofErr w:type="gramStart"/>
      <w:r w:rsidR="009E5407">
        <w:rPr>
          <w:rFonts w:ascii="Times New Roman" w:hAnsi="Times New Roman" w:cs="Times New Roman"/>
          <w:sz w:val="28"/>
          <w:szCs w:val="28"/>
        </w:rPr>
        <w:t>предприятий.</w:t>
      </w:r>
      <w:r w:rsidRPr="009067A0">
        <w:rPr>
          <w:rFonts w:ascii="Times New Roman" w:hAnsi="Times New Roman" w:cs="Times New Roman"/>
          <w:sz w:val="28"/>
          <w:szCs w:val="28"/>
        </w:rPr>
        <w:t>.</w:t>
      </w:r>
      <w:proofErr w:type="gramEnd"/>
      <w:r w:rsidRPr="009067A0">
        <w:rPr>
          <w:rFonts w:ascii="Times New Roman" w:hAnsi="Times New Roman" w:cs="Times New Roman"/>
          <w:sz w:val="28"/>
          <w:szCs w:val="28"/>
        </w:rPr>
        <w:t xml:space="preserve"> 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w:t>
      </w:r>
      <w:r w:rsidRPr="00737133">
        <w:rPr>
          <w:rFonts w:ascii="Times New Roman" w:hAnsi="Times New Roman" w:cs="Times New Roman"/>
          <w:sz w:val="28"/>
          <w:szCs w:val="28"/>
        </w:rPr>
        <w:lastRenderedPageBreak/>
        <w:t xml:space="preserve">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Подходящим моментом для этого является заявление лектора (возможно, стандартной фразой, например, «далее», «итак», «таким образом», </w:t>
      </w:r>
      <w:proofErr w:type="gramStart"/>
      <w:r w:rsidRPr="00737133">
        <w:rPr>
          <w:rFonts w:ascii="Times New Roman" w:hAnsi="Times New Roman" w:cs="Times New Roman"/>
          <w:sz w:val="28"/>
          <w:szCs w:val="28"/>
        </w:rPr>
        <w:t>«следовательно</w:t>
      </w:r>
      <w:proofErr w:type="gramEnd"/>
      <w:r w:rsidRPr="00737133">
        <w:rPr>
          <w:rFonts w:ascii="Times New Roman" w:hAnsi="Times New Roman" w:cs="Times New Roman"/>
          <w:sz w:val="28"/>
          <w:szCs w:val="28"/>
        </w:rPr>
        <w:t>» и т.д.) о том, что он переходит к другому вопросу.</w:t>
      </w:r>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lastRenderedPageBreak/>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r w:rsidR="009E5407">
        <w:rPr>
          <w:rFonts w:ascii="Times New Roman" w:hAnsi="Times New Roman" w:cs="Times New Roman"/>
          <w:sz w:val="28"/>
          <w:szCs w:val="28"/>
        </w:rPr>
        <w:t xml:space="preserve">Одной из эффективных форм практических занятий является семинар. </w:t>
      </w:r>
      <w:r w:rsidRPr="009067A0">
        <w:rPr>
          <w:rFonts w:ascii="Times New Roman" w:hAnsi="Times New Roman" w:cs="Times New Roman"/>
          <w:sz w:val="28"/>
          <w:szCs w:val="28"/>
        </w:rPr>
        <w:t>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lastRenderedPageBreak/>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w:t>
      </w:r>
      <w:r w:rsidR="009E5407">
        <w:rPr>
          <w:rFonts w:ascii="Times New Roman" w:hAnsi="Times New Roman" w:cs="Times New Roman"/>
          <w:b/>
          <w:sz w:val="28"/>
          <w:szCs w:val="28"/>
        </w:rPr>
        <w:t xml:space="preserve">практических занятиях и </w:t>
      </w:r>
      <w:r w:rsidRPr="00D271D7">
        <w:rPr>
          <w:rFonts w:ascii="Times New Roman" w:hAnsi="Times New Roman" w:cs="Times New Roman"/>
          <w:b/>
          <w:sz w:val="28"/>
          <w:szCs w:val="28"/>
        </w:rPr>
        <w:t xml:space="preserve">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Анализ литературных источников (рекомендуется использовать данные за последние 5 лет)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 xml:space="preserve">Текстовый материал набирается компьютерным способом в одном из текстовых процессоров и распечатывается на листах формата А4. Поля </w:t>
      </w:r>
      <w:proofErr w:type="gramStart"/>
      <w:r w:rsidRPr="007238F3">
        <w:rPr>
          <w:rFonts w:ascii="Times New Roman" w:hAnsi="Times New Roman" w:cs="Times New Roman"/>
          <w:sz w:val="28"/>
          <w:szCs w:val="28"/>
        </w:rPr>
        <w:t xml:space="preserve">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w:t>
      </w:r>
      <w:proofErr w:type="gramEnd"/>
      <w:r w:rsidRPr="007238F3">
        <w:rPr>
          <w:rFonts w:ascii="Times New Roman" w:hAnsi="Times New Roman" w:cs="Times New Roman"/>
          <w:sz w:val="28"/>
          <w:szCs w:val="28"/>
        </w:rPr>
        <w:t xml:space="preserve">,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lastRenderedPageBreak/>
        <w:t>Гарнитурашрифта</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13пт форматирование по центру. Название схемы располагается под ней по центру и начинается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w:t>
      </w:r>
      <w:r w:rsidRPr="008C261C">
        <w:rPr>
          <w:rFonts w:ascii="Times New Roman" w:hAnsi="Times New Roman" w:cs="Times New Roman"/>
          <w:sz w:val="28"/>
          <w:szCs w:val="28"/>
        </w:rPr>
        <w:lastRenderedPageBreak/>
        <w:t xml:space="preserve">Продумать, в какой последовательности и с какими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FC635D" w:rsidRPr="006979B5" w:rsidRDefault="00FC635D"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доклада/сообщения студента</w:t>
      </w:r>
    </w:p>
    <w:p w:rsidR="006979B5" w:rsidRPr="006979B5" w:rsidRDefault="006979B5" w:rsidP="006979B5">
      <w:pPr>
        <w:spacing w:after="0" w:line="360" w:lineRule="auto"/>
        <w:jc w:val="both"/>
        <w:rPr>
          <w:rFonts w:ascii="Times New Roman" w:hAnsi="Times New Roman" w:cs="Times New Roman"/>
          <w:sz w:val="28"/>
          <w:szCs w:val="28"/>
        </w:rPr>
      </w:pPr>
      <w:r w:rsidRPr="006979B5">
        <w:rPr>
          <w:rFonts w:ascii="Times New Roman" w:hAnsi="Times New Roman" w:cs="Times New Roman"/>
          <w:sz w:val="28"/>
          <w:szCs w:val="28"/>
        </w:rPr>
        <w:lastRenderedPageBreak/>
        <w:t xml:space="preserve">В соответствии с принципами </w:t>
      </w:r>
      <w:proofErr w:type="spellStart"/>
      <w:r w:rsidRPr="006979B5">
        <w:rPr>
          <w:rFonts w:ascii="Times New Roman" w:hAnsi="Times New Roman" w:cs="Times New Roman"/>
          <w:sz w:val="28"/>
          <w:szCs w:val="28"/>
        </w:rPr>
        <w:t>бально</w:t>
      </w:r>
      <w:proofErr w:type="spellEnd"/>
      <w:r w:rsidRPr="006979B5">
        <w:rPr>
          <w:rFonts w:ascii="Times New Roman" w:hAnsi="Times New Roman" w:cs="Times New Roman"/>
          <w:sz w:val="28"/>
          <w:szCs w:val="28"/>
        </w:rPr>
        <w:t xml:space="preserve"> – рейтинговой, накопительной системы  оценки работы студентов в течение семестра Доклады оцениваются по 5 балльной шкале: Максимальное количество баллов за семестр - 60 </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 xml:space="preserve">5 баллов. полный мультимедийно иллюстрированный доклад оформленный в художественном, эмоционально ярком, выразительном стиле, развернутое изложение </w:t>
      </w:r>
      <w:proofErr w:type="gramStart"/>
      <w:r w:rsidRPr="006979B5">
        <w:rPr>
          <w:rFonts w:ascii="Times New Roman" w:hAnsi="Times New Roman" w:cs="Times New Roman"/>
          <w:sz w:val="28"/>
          <w:szCs w:val="28"/>
        </w:rPr>
        <w:t>содержания  текста</w:t>
      </w:r>
      <w:proofErr w:type="gramEnd"/>
      <w:r w:rsidRPr="006979B5">
        <w:rPr>
          <w:rFonts w:ascii="Times New Roman" w:hAnsi="Times New Roman" w:cs="Times New Roman"/>
          <w:sz w:val="28"/>
          <w:szCs w:val="28"/>
        </w:rPr>
        <w:t>, умение ответить на вопросы и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4 балла -</w:t>
      </w:r>
      <w:proofErr w:type="gramStart"/>
      <w:r w:rsidRPr="006979B5">
        <w:rPr>
          <w:rFonts w:ascii="Times New Roman" w:hAnsi="Times New Roman" w:cs="Times New Roman"/>
          <w:sz w:val="28"/>
          <w:szCs w:val="28"/>
        </w:rPr>
        <w:t>полный ,</w:t>
      </w:r>
      <w:proofErr w:type="gramEnd"/>
      <w:r w:rsidRPr="006979B5">
        <w:rPr>
          <w:rFonts w:ascii="Times New Roman" w:hAnsi="Times New Roman" w:cs="Times New Roman"/>
          <w:sz w:val="28"/>
          <w:szCs w:val="28"/>
        </w:rPr>
        <w:t xml:space="preserve"> содержательный  доклад, умение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3 балла развернутый доклад, приведение примеров, соответствие представленной в тексте информации материалам лекции и учебной литературы, затруднения при ответе на вопросы и отстаивании своей позиции</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2 балла содержание темы доклада раскрыто не полностью, и на вопросы студент не ответил.</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 xml:space="preserve">1 балл фрагментарно раскрыты отдельные базисные понятия темы </w:t>
      </w:r>
    </w:p>
    <w:p w:rsidR="00704995" w:rsidRDefault="00704995" w:rsidP="006979B5">
      <w:pPr>
        <w:spacing w:after="0" w:line="360" w:lineRule="auto"/>
        <w:ind w:firstLine="709"/>
        <w:jc w:val="both"/>
        <w:rPr>
          <w:rFonts w:ascii="Times New Roman" w:hAnsi="Times New Roman" w:cs="Times New Roman"/>
          <w:b/>
          <w:sz w:val="28"/>
          <w:szCs w:val="28"/>
        </w:rPr>
      </w:pPr>
    </w:p>
    <w:p w:rsidR="003F2BF7" w:rsidRDefault="00D44190" w:rsidP="006979B5">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6979B5">
      <w:pPr>
        <w:spacing w:after="0" w:line="360" w:lineRule="auto"/>
        <w:ind w:firstLine="709"/>
        <w:jc w:val="both"/>
        <w:rPr>
          <w:rFonts w:ascii="Times New Roman" w:hAnsi="Times New Roman" w:cs="Times New Roman"/>
          <w:sz w:val="28"/>
          <w:szCs w:val="28"/>
        </w:rPr>
      </w:pP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6979B5" w:rsidRDefault="00627C3E" w:rsidP="00737133">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Методические рекомендации </w:t>
      </w:r>
      <w:r w:rsidR="00767F0E">
        <w:rPr>
          <w:rFonts w:ascii="Times New Roman" w:hAnsi="Times New Roman" w:cs="Times New Roman"/>
          <w:b/>
          <w:sz w:val="28"/>
          <w:szCs w:val="28"/>
        </w:rPr>
        <w:t xml:space="preserve">по </w:t>
      </w:r>
      <w:r w:rsidRPr="006979B5">
        <w:rPr>
          <w:rFonts w:ascii="Times New Roman" w:hAnsi="Times New Roman" w:cs="Times New Roman"/>
          <w:b/>
          <w:sz w:val="28"/>
          <w:szCs w:val="28"/>
        </w:rPr>
        <w:t xml:space="preserve">подготовке к </w:t>
      </w:r>
      <w:r w:rsidR="00767F0E">
        <w:rPr>
          <w:rFonts w:ascii="Times New Roman" w:hAnsi="Times New Roman" w:cs="Times New Roman"/>
          <w:b/>
          <w:sz w:val="28"/>
          <w:szCs w:val="28"/>
        </w:rPr>
        <w:t>промежуточной аттестации</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Pr="006979B5" w:rsidRDefault="0070078A" w:rsidP="0070078A">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Оценка </w:t>
      </w:r>
      <w:r w:rsidR="006606F3" w:rsidRPr="006979B5">
        <w:rPr>
          <w:rFonts w:ascii="Times New Roman" w:hAnsi="Times New Roman" w:cs="Times New Roman"/>
          <w:b/>
          <w:sz w:val="28"/>
          <w:szCs w:val="28"/>
        </w:rPr>
        <w:t>ответов студента</w:t>
      </w:r>
      <w:r w:rsidR="006979B5" w:rsidRPr="006979B5">
        <w:rPr>
          <w:rFonts w:ascii="Times New Roman" w:hAnsi="Times New Roman" w:cs="Times New Roman"/>
          <w:b/>
          <w:sz w:val="28"/>
          <w:szCs w:val="28"/>
        </w:rPr>
        <w:t xml:space="preserve"> в ходе промежуточной аттестации в форме зачета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lastRenderedPageBreak/>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Pr="006979B5" w:rsidRDefault="0070078A"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0 - 49 баллов (оценка «</w:t>
      </w:r>
      <w:proofErr w:type="spellStart"/>
      <w:r w:rsidRPr="006979B5">
        <w:rPr>
          <w:rFonts w:ascii="Times New Roman" w:hAnsi="Times New Roman" w:cs="Times New Roman"/>
          <w:sz w:val="28"/>
          <w:szCs w:val="28"/>
        </w:rPr>
        <w:t>незачтено</w:t>
      </w:r>
      <w:proofErr w:type="spellEnd"/>
      <w:r w:rsidRPr="006979B5">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6979B5" w:rsidRPr="006979B5" w:rsidRDefault="006979B5"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ответов студента в ходе промежуточной аттестации в форме  экзамена</w:t>
      </w:r>
    </w:p>
    <w:p w:rsidR="009563FA" w:rsidRPr="006979B5" w:rsidRDefault="009563FA" w:rsidP="006979B5">
      <w:pPr>
        <w:spacing w:after="0" w:line="360" w:lineRule="auto"/>
        <w:ind w:firstLine="709"/>
        <w:jc w:val="both"/>
        <w:rPr>
          <w:rFonts w:ascii="Times New Roman" w:hAnsi="Times New Roman" w:cs="Times New Roman"/>
          <w:sz w:val="28"/>
          <w:szCs w:val="28"/>
        </w:rPr>
      </w:pP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«отлично» (84-100 баллов) выставляется студенту, если при ответе на вопрос </w:t>
      </w:r>
      <w:r w:rsidRPr="006979B5">
        <w:rPr>
          <w:rFonts w:ascii="Times New Roman" w:hAnsi="Times New Roman"/>
          <w:iCs/>
          <w:spacing w:val="-1"/>
          <w:sz w:val="28"/>
          <w:szCs w:val="28"/>
        </w:rPr>
        <w:t xml:space="preserve">изложенный материал фактически верен, проявлено </w:t>
      </w:r>
      <w:r w:rsidRPr="006979B5">
        <w:rPr>
          <w:rFonts w:ascii="Times New Roman" w:hAnsi="Times New Roman"/>
          <w:spacing w:val="-1"/>
          <w:sz w:val="28"/>
          <w:szCs w:val="28"/>
        </w:rPr>
        <w:t xml:space="preserve">наличие глубоких исчерпывающих знаний в объеме пройденной </w:t>
      </w:r>
      <w:r w:rsidRPr="006979B5">
        <w:rPr>
          <w:rFonts w:ascii="Times New Roman" w:hAnsi="Times New Roman"/>
          <w:sz w:val="28"/>
          <w:szCs w:val="28"/>
        </w:rPr>
        <w:t>программы дисциплины в соответствии с поставленными программой курса целями и задачами обучения; продемонстрированы правильные, уверенные действия по применению получен</w:t>
      </w:r>
      <w:r w:rsidRPr="006979B5">
        <w:rPr>
          <w:rFonts w:ascii="Times New Roman" w:hAnsi="Times New Roman"/>
          <w:spacing w:val="-1"/>
          <w:sz w:val="28"/>
          <w:szCs w:val="28"/>
        </w:rPr>
        <w:t xml:space="preserve">ных знаний на практике, показано грамотное и логически стройное изложение материала </w:t>
      </w:r>
      <w:r w:rsidRPr="006979B5">
        <w:rPr>
          <w:rFonts w:ascii="Times New Roman" w:hAnsi="Times New Roman"/>
          <w:sz w:val="28"/>
          <w:szCs w:val="28"/>
        </w:rPr>
        <w:t>при ответе, усвоение основной и знакомство с дополнительной литературой</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 Оценка «хорошо» (67-83 баллов) выставляется студенту, если при ответе на вопрос показано </w:t>
      </w:r>
      <w:r w:rsidRPr="006979B5">
        <w:rPr>
          <w:rFonts w:ascii="Times New Roman" w:hAnsi="Times New Roman"/>
          <w:spacing w:val="-1"/>
          <w:sz w:val="28"/>
          <w:szCs w:val="28"/>
        </w:rPr>
        <w:t>наличие твердых и достаточно полных знаний в объеме пройден</w:t>
      </w:r>
      <w:r w:rsidRPr="006979B5">
        <w:rPr>
          <w:rFonts w:ascii="Times New Roman" w:hAnsi="Times New Roman"/>
          <w:sz w:val="28"/>
          <w:szCs w:val="28"/>
        </w:rPr>
        <w:t xml:space="preserve">ной программы дисциплины в соответствии с целями обучения; продемонстрированы правильные действия по применению знаний на практике и четкое изложение материала, при этом допускаются отдельные логические и стилистические погрешности, если </w:t>
      </w:r>
      <w:proofErr w:type="gramStart"/>
      <w:r w:rsidRPr="006979B5">
        <w:rPr>
          <w:rFonts w:ascii="Times New Roman" w:hAnsi="Times New Roman"/>
          <w:sz w:val="28"/>
          <w:szCs w:val="28"/>
        </w:rPr>
        <w:t>обучающийся  усвоил</w:t>
      </w:r>
      <w:proofErr w:type="gramEnd"/>
      <w:r w:rsidRPr="006979B5">
        <w:rPr>
          <w:rFonts w:ascii="Times New Roman" w:hAnsi="Times New Roman"/>
          <w:sz w:val="28"/>
          <w:szCs w:val="28"/>
        </w:rPr>
        <w:t xml:space="preserve"> основную литературу, рекомендованную в рабочей программе дисциплины;</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«удовлетворительно» (67-83 баллов) выставляется студенту, при наличии твердых знаний в объеме пройденного курса </w:t>
      </w:r>
      <w:r w:rsidRPr="006979B5">
        <w:rPr>
          <w:rFonts w:ascii="Times New Roman" w:hAnsi="Times New Roman"/>
          <w:spacing w:val="-1"/>
          <w:sz w:val="28"/>
          <w:szCs w:val="28"/>
        </w:rPr>
        <w:t xml:space="preserve">в соответствии с целями обучения; при изложении ответов могут быть допущены отдельные ошибки, уверенно исправленные после дополнительных вопросов; при </w:t>
      </w:r>
      <w:r w:rsidRPr="006979B5">
        <w:rPr>
          <w:rFonts w:ascii="Times New Roman" w:hAnsi="Times New Roman"/>
          <w:spacing w:val="-1"/>
          <w:sz w:val="28"/>
          <w:szCs w:val="28"/>
        </w:rPr>
        <w:lastRenderedPageBreak/>
        <w:t xml:space="preserve">правильных в целом </w:t>
      </w:r>
      <w:r w:rsidRPr="006979B5">
        <w:rPr>
          <w:rFonts w:ascii="Times New Roman" w:hAnsi="Times New Roman"/>
          <w:sz w:val="28"/>
          <w:szCs w:val="28"/>
        </w:rPr>
        <w:t>действиях по применению знаний на практике;</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«неудовлетворительно» (0-49 баллов) выставляется студенту,  если </w:t>
      </w:r>
      <w:r w:rsidRPr="006979B5">
        <w:rPr>
          <w:rFonts w:ascii="Times New Roman" w:hAnsi="Times New Roman"/>
          <w:iCs/>
          <w:sz w:val="28"/>
          <w:szCs w:val="28"/>
        </w:rPr>
        <w:t xml:space="preserve">ответы не связаны с вопросами, присутствует </w:t>
      </w:r>
      <w:r w:rsidRPr="006979B5">
        <w:rPr>
          <w:rFonts w:ascii="Times New Roman" w:hAnsi="Times New Roman"/>
          <w:sz w:val="28"/>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0078A" w:rsidRPr="006979B5" w:rsidRDefault="0070078A" w:rsidP="006979B5">
      <w:pPr>
        <w:spacing w:after="0" w:line="360" w:lineRule="auto"/>
        <w:ind w:firstLine="709"/>
        <w:jc w:val="both"/>
        <w:rPr>
          <w:rFonts w:ascii="Times New Roman" w:hAnsi="Times New Roman" w:cs="Times New Roman"/>
          <w:b/>
          <w:sz w:val="28"/>
          <w:szCs w:val="28"/>
        </w:rPr>
      </w:pPr>
    </w:p>
    <w:p w:rsidR="006979B5" w:rsidRPr="006979B5" w:rsidRDefault="006979B5" w:rsidP="006979B5">
      <w:pPr>
        <w:spacing w:after="0" w:line="360" w:lineRule="auto"/>
        <w:ind w:firstLine="709"/>
        <w:jc w:val="both"/>
        <w:rPr>
          <w:rFonts w:ascii="Times New Roman" w:hAnsi="Times New Roman" w:cs="Times New Roman"/>
          <w:b/>
          <w:sz w:val="28"/>
          <w:szCs w:val="28"/>
        </w:rPr>
      </w:pPr>
    </w:p>
    <w:p w:rsidR="007E5113" w:rsidRPr="006979B5" w:rsidRDefault="007E5113" w:rsidP="006979B5">
      <w:pPr>
        <w:spacing w:after="0" w:line="360" w:lineRule="auto"/>
        <w:ind w:firstLine="709"/>
        <w:jc w:val="center"/>
        <w:rPr>
          <w:rFonts w:ascii="Times New Roman" w:hAnsi="Times New Roman" w:cs="Times New Roman"/>
          <w:sz w:val="28"/>
          <w:szCs w:val="28"/>
        </w:rPr>
      </w:pPr>
      <w:r w:rsidRPr="006979B5">
        <w:rPr>
          <w:rFonts w:ascii="Times New Roman" w:hAnsi="Times New Roman" w:cs="Times New Roman"/>
          <w:b/>
          <w:sz w:val="28"/>
          <w:szCs w:val="28"/>
        </w:rPr>
        <w:t>Заключение</w:t>
      </w:r>
    </w:p>
    <w:p w:rsidR="007E5113" w:rsidRPr="006979B5" w:rsidRDefault="007E5113" w:rsidP="006979B5">
      <w:pPr>
        <w:spacing w:after="0" w:line="360" w:lineRule="auto"/>
        <w:ind w:firstLine="709"/>
        <w:jc w:val="both"/>
        <w:rPr>
          <w:rFonts w:ascii="Times New Roman" w:hAnsi="Times New Roman" w:cs="Times New Roman"/>
          <w:sz w:val="28"/>
          <w:szCs w:val="28"/>
        </w:rPr>
      </w:pPr>
    </w:p>
    <w:p w:rsidR="007E5113" w:rsidRPr="00737133" w:rsidRDefault="007E5113"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 xml:space="preserve">Выполнение методических рекомендаций при изучении дисциплины </w:t>
      </w:r>
      <w:r w:rsidR="00814BFE" w:rsidRPr="006979B5">
        <w:rPr>
          <w:rFonts w:ascii="Times New Roman" w:hAnsi="Times New Roman" w:cs="Times New Roman"/>
          <w:sz w:val="28"/>
          <w:szCs w:val="28"/>
        </w:rPr>
        <w:t>«</w:t>
      </w:r>
      <w:r w:rsidR="006979B5" w:rsidRPr="006979B5">
        <w:rPr>
          <w:rFonts w:ascii="Times New Roman" w:hAnsi="Times New Roman" w:cs="Times New Roman"/>
          <w:sz w:val="28"/>
          <w:szCs w:val="28"/>
        </w:rPr>
        <w:t>Управление человеческими ресурсами</w:t>
      </w:r>
      <w:r w:rsidR="00814BFE" w:rsidRPr="006979B5">
        <w:rPr>
          <w:rFonts w:ascii="Times New Roman" w:hAnsi="Times New Roman" w:cs="Times New Roman"/>
          <w:sz w:val="28"/>
          <w:szCs w:val="28"/>
        </w:rPr>
        <w:t>»</w:t>
      </w:r>
      <w:r w:rsidRPr="006979B5">
        <w:rPr>
          <w:rFonts w:ascii="Times New Roman" w:hAnsi="Times New Roman" w:cs="Times New Roman"/>
          <w:sz w:val="28"/>
          <w:szCs w:val="28"/>
        </w:rPr>
        <w:t>, знакомство с основными категориями</w:t>
      </w:r>
      <w:r w:rsidRPr="007E5113">
        <w:rPr>
          <w:rFonts w:ascii="Times New Roman" w:hAnsi="Times New Roman" w:cs="Times New Roman"/>
          <w:sz w:val="28"/>
          <w:szCs w:val="28"/>
        </w:rPr>
        <w:t xml:space="preserve">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6979B5">
        <w:rPr>
          <w:rFonts w:ascii="Times New Roman" w:hAnsi="Times New Roman" w:cs="Times New Roman"/>
          <w:sz w:val="28"/>
          <w:szCs w:val="28"/>
        </w:rPr>
        <w:t>Управление человеческими ресурсами</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764D7"/>
    <w:multiLevelType w:val="hybridMultilevel"/>
    <w:tmpl w:val="B5482212"/>
    <w:lvl w:ilvl="0" w:tplc="A1A81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7133"/>
    <w:rsid w:val="0000701E"/>
    <w:rsid w:val="000325DE"/>
    <w:rsid w:val="00056042"/>
    <w:rsid w:val="000D173C"/>
    <w:rsid w:val="001022EF"/>
    <w:rsid w:val="001E606D"/>
    <w:rsid w:val="00223858"/>
    <w:rsid w:val="002648CB"/>
    <w:rsid w:val="002B391C"/>
    <w:rsid w:val="002B7C6D"/>
    <w:rsid w:val="002E4B96"/>
    <w:rsid w:val="00312D4B"/>
    <w:rsid w:val="00323B59"/>
    <w:rsid w:val="0036478B"/>
    <w:rsid w:val="00397949"/>
    <w:rsid w:val="003A78FC"/>
    <w:rsid w:val="003C4115"/>
    <w:rsid w:val="003F2BF7"/>
    <w:rsid w:val="004115CD"/>
    <w:rsid w:val="00427C19"/>
    <w:rsid w:val="00447306"/>
    <w:rsid w:val="00456BCB"/>
    <w:rsid w:val="004B021D"/>
    <w:rsid w:val="00534750"/>
    <w:rsid w:val="00552234"/>
    <w:rsid w:val="0056321A"/>
    <w:rsid w:val="0056595D"/>
    <w:rsid w:val="00585CC0"/>
    <w:rsid w:val="00596431"/>
    <w:rsid w:val="005974B8"/>
    <w:rsid w:val="005D36FC"/>
    <w:rsid w:val="005D3DD3"/>
    <w:rsid w:val="005F7F8A"/>
    <w:rsid w:val="00627C3E"/>
    <w:rsid w:val="006329F4"/>
    <w:rsid w:val="006353B3"/>
    <w:rsid w:val="006606F3"/>
    <w:rsid w:val="00675773"/>
    <w:rsid w:val="006979B5"/>
    <w:rsid w:val="0070078A"/>
    <w:rsid w:val="00704995"/>
    <w:rsid w:val="00706C68"/>
    <w:rsid w:val="00711980"/>
    <w:rsid w:val="00711DC0"/>
    <w:rsid w:val="007238F3"/>
    <w:rsid w:val="007342DD"/>
    <w:rsid w:val="00737133"/>
    <w:rsid w:val="00767F0E"/>
    <w:rsid w:val="00784DC3"/>
    <w:rsid w:val="007A365D"/>
    <w:rsid w:val="007E2559"/>
    <w:rsid w:val="007E4F84"/>
    <w:rsid w:val="007E5113"/>
    <w:rsid w:val="007F2528"/>
    <w:rsid w:val="00810FE6"/>
    <w:rsid w:val="00814BFE"/>
    <w:rsid w:val="008B5D19"/>
    <w:rsid w:val="008F513F"/>
    <w:rsid w:val="008F6E8B"/>
    <w:rsid w:val="009067A0"/>
    <w:rsid w:val="009563FA"/>
    <w:rsid w:val="00994FEB"/>
    <w:rsid w:val="009C7835"/>
    <w:rsid w:val="009E5407"/>
    <w:rsid w:val="00A249C9"/>
    <w:rsid w:val="00A405A9"/>
    <w:rsid w:val="00AB1E51"/>
    <w:rsid w:val="00AB753A"/>
    <w:rsid w:val="00AC0137"/>
    <w:rsid w:val="00AE29AA"/>
    <w:rsid w:val="00AF2607"/>
    <w:rsid w:val="00B16F0B"/>
    <w:rsid w:val="00B22237"/>
    <w:rsid w:val="00B8482A"/>
    <w:rsid w:val="00C00124"/>
    <w:rsid w:val="00C31E43"/>
    <w:rsid w:val="00CB0A03"/>
    <w:rsid w:val="00CD5F9A"/>
    <w:rsid w:val="00CF501A"/>
    <w:rsid w:val="00D07189"/>
    <w:rsid w:val="00D140DF"/>
    <w:rsid w:val="00D271D7"/>
    <w:rsid w:val="00D43A31"/>
    <w:rsid w:val="00D44190"/>
    <w:rsid w:val="00D45BCD"/>
    <w:rsid w:val="00D85F4F"/>
    <w:rsid w:val="00D9516C"/>
    <w:rsid w:val="00E1003D"/>
    <w:rsid w:val="00E67B38"/>
    <w:rsid w:val="00E81899"/>
    <w:rsid w:val="00EE3F28"/>
    <w:rsid w:val="00FC5484"/>
    <w:rsid w:val="00FC635D"/>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CDE7C-09F7-45BF-9955-C396EC6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 w:type="paragraph" w:styleId="a5">
    <w:name w:val="List Paragraph"/>
    <w:basedOn w:val="a"/>
    <w:uiPriority w:val="34"/>
    <w:qFormat/>
    <w:rsid w:val="006979B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E09F-1118-4868-85F4-DE54DE43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Гости</cp:lastModifiedBy>
  <cp:revision>5</cp:revision>
  <dcterms:created xsi:type="dcterms:W3CDTF">2021-04-07T13:13:00Z</dcterms:created>
  <dcterms:modified xsi:type="dcterms:W3CDTF">2021-04-09T12:22:00Z</dcterms:modified>
</cp:coreProperties>
</file>