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20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РОСТОВСКИЙ ГОСУДАРСТВЕННЫЙ ЭКОНОМИЧЕСКИЙ УНИВЕРСИТЕТ «РИНХ»</w:t>
      </w:r>
    </w:p>
    <w:p w:rsidR="007F2093" w:rsidRPr="007F2093" w:rsidRDefault="007F2093" w:rsidP="007F2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Учетно-экономический факультет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AD606" wp14:editId="69416032">
                <wp:simplePos x="0" y="0"/>
                <wp:positionH relativeFrom="column">
                  <wp:posOffset>120650</wp:posOffset>
                </wp:positionH>
                <wp:positionV relativeFrom="paragraph">
                  <wp:posOffset>0</wp:posOffset>
                </wp:positionV>
                <wp:extent cx="6286500" cy="0"/>
                <wp:effectExtent l="24765" t="1905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DB035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0" to="50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705DnNoAAAAK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p w:rsid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Ю.Г. Чернышева 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18666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8D3AE0" w:rsidRPr="000C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УПРАВЛЕНИЕ ИЗМЕНЕНИЯМИ </w:t>
      </w:r>
      <w:r w:rsidRPr="001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069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57B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и методические рекомендации по выполнению</w:t>
      </w:r>
      <w:r w:rsidRPr="002D3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2093" w:rsidRPr="007F2093" w:rsidRDefault="001D637C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курсовой</w:t>
      </w:r>
      <w:r w:rsidR="007F2093" w:rsidRPr="002D3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2D3069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069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069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="0057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бакалавров</w:t>
      </w:r>
      <w:proofErr w:type="gramEnd"/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по направлению 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</w:t>
      </w:r>
      <w:r w:rsidR="001D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 «Экономика»</w:t>
      </w:r>
    </w:p>
    <w:p w:rsidR="007F2093" w:rsidRPr="007F2093" w:rsidRDefault="001D637C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</w:t>
      </w:r>
      <w:r w:rsidR="007F2093"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</w:t>
      </w:r>
      <w:r w:rsidR="001D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.01.09 «</w:t>
      </w:r>
      <w:r w:rsidR="001D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Бизнес-анализ и прогнозирование в организациях</w:t>
      </w: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9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3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F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Печатается по решению кафедры анализа хозяйственной деятельности и прогнозирования</w:t>
      </w: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Автор-составитель: Чернышева Ю.Г.</w:t>
      </w: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8CA" w:rsidRDefault="00BF18CA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</w:t>
      </w:r>
    </w:p>
    <w:p w:rsidR="00BF18CA" w:rsidRDefault="00BF18CA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 Усенко Л.Н.</w:t>
      </w: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к.э.н., доцент </w:t>
      </w:r>
      <w:r w:rsidR="002D30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Л.В.</w:t>
      </w: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F2093" w:rsidRPr="007F2093" w:rsidRDefault="007F2093" w:rsidP="007F20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</w:t>
      </w:r>
      <w:r w:rsidR="0091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и требования к выполнению 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дисциплине «</w:t>
      </w:r>
      <w:r w:rsidR="000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2CE5" w:rsidRPr="000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и управление изменениями в организации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бакалавров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по направлению 38.0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 «Экономика», 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.01.09 «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Бизнес-анализ и прогнозирование в организациях</w:t>
      </w: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2093" w:rsidRPr="007F2093" w:rsidRDefault="007F2093" w:rsidP="007F20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9" w:rsidRPr="007F2093" w:rsidRDefault="002D3069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© Ростовский государственный экономический университет «РИНХ», 20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91757B" w:rsidRDefault="0091757B" w:rsidP="007F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57B" w:rsidRDefault="0091757B" w:rsidP="007F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02" w:rsidRDefault="00CA2802" w:rsidP="007F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02" w:rsidRDefault="00CA2802" w:rsidP="007F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13E" w:rsidRDefault="0057413E" w:rsidP="007F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57B" w:rsidRDefault="0091757B" w:rsidP="007F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093" w:rsidRPr="007F2093" w:rsidRDefault="007F2093" w:rsidP="007F2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093">
        <w:rPr>
          <w:rFonts w:ascii="Times New Roman" w:hAnsi="Times New Roman" w:cs="Times New Roman"/>
          <w:sz w:val="28"/>
          <w:szCs w:val="28"/>
        </w:rPr>
        <w:t>Оглавление</w:t>
      </w:r>
    </w:p>
    <w:p w:rsidR="007F2093" w:rsidRPr="007F2093" w:rsidRDefault="007F2093" w:rsidP="002D3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093" w:rsidRPr="0091757B" w:rsidRDefault="007F2093" w:rsidP="0091757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1757B" w:rsidRPr="0091757B" w:rsidRDefault="0091757B" w:rsidP="0091757B">
      <w:pPr>
        <w:pStyle w:val="a3"/>
        <w:numPr>
          <w:ilvl w:val="0"/>
          <w:numId w:val="12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оформления </w:t>
      </w:r>
      <w:r w:rsidR="001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</w:t>
      </w:r>
      <w:r w:rsidRPr="009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91757B" w:rsidRPr="0091757B" w:rsidRDefault="0091757B" w:rsidP="0091757B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851"/>
          <w:tab w:val="left" w:pos="9355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</w:t>
      </w:r>
      <w:r w:rsidR="001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</w:t>
      </w:r>
      <w:r w:rsidRPr="0091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91757B" w:rsidRDefault="0091757B" w:rsidP="0091757B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D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7F2093" w:rsidRPr="0091757B" w:rsidRDefault="0091757B" w:rsidP="0091757B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 и информационное обеспечение</w:t>
      </w:r>
    </w:p>
    <w:p w:rsidR="007F2093" w:rsidRPr="0091757B" w:rsidRDefault="007F2093" w:rsidP="0091757B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7F2093" w:rsidRPr="007F2093" w:rsidRDefault="007F2093" w:rsidP="002D3069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Default="007F2093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2E" w:rsidRPr="007F2093" w:rsidRDefault="00C6772E" w:rsidP="007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1849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Pr="007F2093" w:rsidRDefault="007F2093" w:rsidP="0018494F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F2093" w:rsidRDefault="007F2093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93" w:rsidRDefault="007F2093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37" w:rsidRDefault="001D637C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</w:t>
      </w:r>
      <w:r w:rsidR="00DF5ED9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представляет форму контроля знаний по дисциплине «</w:t>
      </w:r>
      <w:r w:rsidR="000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2CE5" w:rsidRPr="000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и управление изменениями в организации</w:t>
      </w:r>
      <w:r w:rsidR="00DF5ED9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 с учебным планом 38.0</w:t>
      </w:r>
      <w:r w:rsidR="001866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ED9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>.01.09 «</w:t>
      </w:r>
      <w:r w:rsidR="001866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Бизнес-анализ и прогнозирование в организациях</w:t>
      </w:r>
      <w:r w:rsidR="00DF5ED9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F5ED9" w:rsidRDefault="0043599C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курсовой работы является обязательным элементом курса, который выполняется до проведения экзамена. </w:t>
      </w:r>
    </w:p>
    <w:p w:rsidR="005F4A46" w:rsidRDefault="00DF5ED9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углубление знаний, развитие способности к научным исследованиям при изучении литературных источников и нормативно-инструктивных материалов, закрепление практических навыков по </w:t>
      </w:r>
      <w:r w:rsidR="005F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анализу и </w:t>
      </w:r>
      <w:r w:rsidR="000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изменениями в организации</w:t>
      </w: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5ED9" w:rsidRPr="00DF5ED9" w:rsidRDefault="00DF5ED9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</w:t>
      </w: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включает следующие этапы:</w:t>
      </w:r>
    </w:p>
    <w:p w:rsidR="00DF5ED9" w:rsidRPr="00DF5ED9" w:rsidRDefault="00DF5ED9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772E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литературы по избранной теме и изучение литературных источников и нормативно-инструктивных материалов.</w:t>
      </w:r>
    </w:p>
    <w:p w:rsidR="00DF5ED9" w:rsidRDefault="00DF5ED9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</w:t>
      </w:r>
      <w:r w:rsidR="0051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состояния </w:t>
      </w:r>
      <w:r w:rsidR="000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заданной темы</w:t>
      </w:r>
      <w:r w:rsidR="00C6772E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55F" w:rsidRDefault="0051055F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будущего состояния с применением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бизнес-целей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(задач)</w:t>
      </w:r>
    </w:p>
    <w:p w:rsidR="0051055F" w:rsidRPr="00DF5ED9" w:rsidRDefault="0051055F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необходимых изменений для перехода от текущего состояния к будущему</w:t>
      </w:r>
    </w:p>
    <w:p w:rsidR="00DF5ED9" w:rsidRPr="00DF5ED9" w:rsidRDefault="005D0297" w:rsidP="0018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</w:t>
      </w:r>
      <w:r w:rsidR="00C6772E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формление 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</w:t>
      </w:r>
      <w:r w:rsidR="00C6772E" w:rsidRPr="00D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соответствии с предъявляемыми требованиями.</w:t>
      </w:r>
    </w:p>
    <w:p w:rsidR="007A10D7" w:rsidRDefault="007A10D7" w:rsidP="00184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6D6" w:rsidRPr="00487B5F" w:rsidRDefault="00BD56D6" w:rsidP="0018494F">
      <w:pPr>
        <w:shd w:val="clear" w:color="auto" w:fill="FFFFFF"/>
        <w:spacing w:after="0" w:line="240" w:lineRule="auto"/>
        <w:ind w:right="-2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57B" w:rsidRPr="00C6772E" w:rsidRDefault="0091757B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C67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ОФОРМЛЕНИЯ </w:t>
      </w:r>
      <w:r w:rsidR="001D6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</w:t>
      </w:r>
      <w:r w:rsidRPr="00C67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91757B" w:rsidRPr="00C6772E" w:rsidRDefault="0091757B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сдается на кафедру для проверки в компьютерном наборе на одной стороне белой бумаги формата А</w:t>
      </w:r>
      <w:proofErr w:type="gram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(210×297 мм). </w:t>
      </w:r>
      <w:proofErr w:type="spell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14, интервал 1,5. (в больших таблицах можно использовать размер 12 или 13, интервал 1,0). </w:t>
      </w:r>
      <w:proofErr w:type="gram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полей: левое – 30 мм, правое – 10 мм, верхнее – 20 мм, нижнее – 20 мм.</w:t>
      </w:r>
      <w:proofErr w:type="gram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рамкой не очерчивается.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страниц сквозная. Номер страницы ставится сверху в правом углу. Первой страницей считается титульный лист, на котором номер страницы не проставляется. Разделы имеют порядковую нумерацию, нумеруются арабскими цифрами; подразделы, пункты нумеруются в пределах разделов.</w:t>
      </w:r>
      <w:r w:rsidR="0025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работы 30-35 стр.</w:t>
      </w:r>
      <w:r w:rsidR="0033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приложений).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титульного листа представлен в приложении 1. Размер полей для титульного листа: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левое поле: 30 мм;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правое поле: 10 мм;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верхнее поле: 20 мм;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нижнее поле: 20 мм.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работы допускаются только общепринятые сокращения (например, </w:t>
      </w:r>
      <w:proofErr w:type="spell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</w:t>
      </w:r>
      <w:proofErr w:type="spell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.). Текст теоретической части делят на разделы (при необходимости – на подразделы и пункты). Название раздела пишут прописными буквами. Каждый раздел следует начинать с нового листа. Пункты внутри разделов с новой страницы не начинаются. Названия разделов размещают в верхней части листа симметрично тексту. Точка в конце названия раздела не ставится, переносы не допускаются. Расстояние между заголовком раздела и текстом – 1 строка. Название раздела не подчеркивается. Названия пунктов располагаются симметрично текста. Отступ после текстовой части предыдущего пункта и перед следующей текстовой частью – 1 строка.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иллюстрациям относятся чертежи, схемы, графики, диаграммы, фотографии,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оформляются в соответствии с</w:t>
      </w: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7.32-2001.</w:t>
      </w:r>
      <w:r w:rsidRPr="00B67573">
        <w:t xml:space="preserve"> </w:t>
      </w:r>
      <w:r w:rsidRPr="00B6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иллюстрации состоит из номера главы </w:t>
      </w:r>
      <w:r w:rsidRPr="00B6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порядкового номера иллюстрации в главе, </w:t>
      </w:r>
      <w:proofErr w:type="gramStart"/>
      <w:r w:rsidRPr="00B6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B6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 (то есть, Рисунок 1.2. – второй рисунок первого раздела).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нумеруют аналогично иллюстрациям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курсовой работе одна таблица, ее не нумеруют и слово Таблица не пишут. Заголовок таблицы и слово «Таблица» пишут с прописной буквы, не подчеркивают. Иллюстрации и таблицы размещают в курсовой работе после первого упоминания о них в тексте. </w:t>
      </w:r>
      <w:proofErr w:type="gram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таблицы должны быть ссылки в тексте, при этом слово «Таблица» в тексте пишут полностью, если таблица не имеет номера; и сокращенно – если имеет номер, например, «… в табл. 1.2.». Иллюстрирующие курсовую работу заполненные бланки первичных документов, имеющие размеры меньшие, чем страница курсовой работы, наклеиваются на чистые листы и оформляются как таблицы.</w:t>
      </w:r>
      <w:proofErr w:type="gram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Бланки, превышающие формат страницы, помещаются в приложения. Формулы нумеруются арабскими цифрами в пределах раздела. Номер формулы состоит из номера раздела и порядкового номера формулы в разделе, </w:t>
      </w:r>
      <w:proofErr w:type="gram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точкой. Номер помещают в круглых скобках с правой стороны листа на уровне формулы. Например, (3.1.) – первая формула третьего раздела. Ссылки в тексте на источники следует указывать как порядковый номер источника по списку источников и номер страницы, выделенные квадратными скобками, например, [3, с. 5].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оформляют как продолжение курсовой работы на последних ее страницах после списка использованных источников. Размещаются приложения в порядке появления в тексте ссылок на них. Каждое приложение начинают с новой страницы с указанием в правом верхнем углу слова Приложение, написанного прописными буквами. Каждое приложение должно иметь заголовок. Если в курсовой работе больше одного приложения, их нумеруют последовательно арабскими цифрами (без знака №), например, ПРИЛОЖЕНИЕ 1, ПРИЛОЖЕНИЕ 2 и т.д. 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Библиографическая ссылка является частью справочного аппарата документа и служит источником библиографической информации о документах – объектах ссылки. Она содержит библиографическое описание (библиографические сведения) о цитируемом, рассматриваемом или упоминаемом в тексте документа другом документе (его составной части или группе документов). Оформление ссылок должно соответствовать ГОСТ </w:t>
      </w:r>
      <w:proofErr w:type="gramStart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7.0.5—2008. 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 представляет собой указатель литературных и документальных письменных источников, использованных при написании курсовой работы. Он составляется на том же языке, что и работа, если использовались источники на иностранных языках, то в библиографическое описание они включаются на языке оригинала. Сведения об использованных источниках оформляются в соответствии с требованиями ГОСТ 7.1-2003.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использовать следующие способы расположения использованных источников: расположение по видам источников (разделение всех документов на группы (классы, разделы)) и алфавитный (источники располагаются по фамилиям авторов, заглавиям книг и статей (если автор не указан или авторов больше трех)). Формирование библиографического списка осуществляется в последовательности: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официальные документы (государственные документы, законодательные материалы);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документальные материалы (архивные документы, статистические сборники, ежегодники, материалы социологических исследований и т.п.) — в хронологическом порядке;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отечественной и зарубежной литературы по теме (книги, статьи, тезисы докладов, нормативно-техническая документация и пр.) — по алфавиту того языка, на котором дается библиографическое описание документа. Если книга написана двумя и более авторами, то их фамилии с инициалами указываются в той последовательности, в какой они даны в книге (а не в алфавитном порядке).</w:t>
      </w:r>
    </w:p>
    <w:p w:rsidR="002A0F78" w:rsidRPr="00F271DD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литературу на иностранных языках помещают в конце списка. </w:t>
      </w:r>
    </w:p>
    <w:p w:rsidR="002A0F78" w:rsidRDefault="002A0F78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следует нумеровать арабскими цифрами и располагать с абзацного отступа.</w:t>
      </w:r>
    </w:p>
    <w:p w:rsidR="0091757B" w:rsidRPr="00C6772E" w:rsidRDefault="0091757B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F3" w:rsidRPr="00FD26F3" w:rsidRDefault="00FD26F3" w:rsidP="0018494F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04AE" w:rsidRPr="0091757B" w:rsidRDefault="0091757B" w:rsidP="0018494F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91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ДЛЯ </w:t>
      </w:r>
      <w:r w:rsidR="001D6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</w:t>
      </w:r>
      <w:r w:rsidRPr="0091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    </w:t>
      </w:r>
    </w:p>
    <w:p w:rsidR="003704AE" w:rsidRPr="0042658F" w:rsidRDefault="003704AE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03" w:rsidRDefault="0042658F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выполняется по одному из двух направлений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определяется в соответствии с номером зачетной книжки. </w:t>
      </w:r>
    </w:p>
    <w:p w:rsidR="001F5B03" w:rsidRDefault="00C74F53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</w:t>
      </w:r>
      <w:r w:rsidR="00EF5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последняя цифра зачетной книжки – 0, 1, 2, 3, 4, 6, 8. </w:t>
      </w:r>
    </w:p>
    <w:p w:rsidR="0042658F" w:rsidRDefault="00EF5B33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– последняя цифра зачетной книжки 5, 7, 9</w:t>
      </w:r>
      <w:r w:rsidR="00700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1389" w:rsidRDefault="005E1389" w:rsidP="0018494F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89" w:rsidRPr="00C74F53" w:rsidRDefault="005E1389" w:rsidP="0018494F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курсовой работы </w:t>
      </w:r>
    </w:p>
    <w:p w:rsidR="0042658F" w:rsidRPr="00AC24F0" w:rsidRDefault="00AC24F0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="006834DE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="00C4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6834DE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42658F" w:rsidRPr="00AC24F0" w:rsidRDefault="00AC24F0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="006834DE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потенциальности банкротства организаци</w:t>
      </w:r>
      <w:r w:rsidR="00C404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2658F" w:rsidRPr="0042658F" w:rsidRDefault="0042658F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8F" w:rsidRDefault="006834DE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5F6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курсовой работе должны найти отражение </w:t>
      </w:r>
      <w:r w:rsidR="000E615B" w:rsidRPr="00CA0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следующие аспекты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34DE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категориальный и понятийный аппарат 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4D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34D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потенциальности банкротства коммерческих организаций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трудах ученых (не менее 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определений различных категорий в контексте выбранной темы</w:t>
      </w:r>
      <w:r w:rsidR="005F6A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сравнительный анализ понятийного аппарата</w:t>
      </w:r>
    </w:p>
    <w:p w:rsidR="005F6A21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нормативную базу по проблеме исследования (законы, концепции, стратегии и др.) с детальным описанием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рассматриваемой темы в контексте нормативных документов</w:t>
      </w:r>
    </w:p>
    <w:p w:rsidR="006834DE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</w:t>
      </w:r>
      <w:r w:rsidR="0036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существующий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зарубежный опыт </w:t>
      </w:r>
      <w:proofErr w:type="gramStart"/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15B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E615B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потенциальности банкротства коммерческих организаций</w:t>
      </w:r>
      <w:proofErr w:type="gramEnd"/>
      <w:r w:rsidR="0036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3-х примеров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рассмотреть существующие направления, методы анализа, используемые показатели, классификации, концептуальные схемы анализа, факторы и др.) (</w:t>
      </w:r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- 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необходимости изменения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15B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</w:t>
      </w:r>
      <w:r w:rsidR="0036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существующий 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опыт </w:t>
      </w:r>
      <w:proofErr w:type="gramStart"/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0E615B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15B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E615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E615B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потенциальности банкротства коммерческих организаций</w:t>
      </w:r>
      <w:proofErr w:type="gramEnd"/>
      <w:r w:rsidR="0036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714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примеров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рассмотреть существующие направления, методы анализа, используемые показатели, классификации, концептуальные схемы анализа, факторы и др.) (</w:t>
      </w:r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- 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необходимости изменения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421AF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заинтересованные стороны в рамках организации по оценке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устойчивого </w:t>
      </w:r>
      <w:proofErr w:type="gramStart"/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1AF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421AF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потенциальности банкротства коммерческих организаций</w:t>
      </w:r>
      <w:proofErr w:type="gramEnd"/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дать их характеристику</w:t>
      </w:r>
      <w:r w:rsidR="0024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описать потребности в контексте оценки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414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444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44414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потенциальности банкротства коммерческих организаций</w:t>
      </w:r>
    </w:p>
    <w:p w:rsidR="003421AF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проблемы, недостатки, положительные стороны существующ</w:t>
      </w:r>
      <w:r w:rsidR="00FF415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и зарубежного опыта оценки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5A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F41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F415A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потенциальности банкротства коммерческих организаций</w:t>
      </w:r>
      <w:proofErr w:type="gramStart"/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02735" w:rsidRP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п. 3 и п. 4)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- 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проблем)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7E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Описать будущее состояние </w:t>
      </w:r>
      <w:proofErr w:type="gramStart"/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7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07D7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потенциальности банкротства коммерческих организаций</w:t>
      </w:r>
      <w:proofErr w:type="gramEnd"/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сформулировав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бизнес-цел</w:t>
      </w:r>
      <w:r w:rsidR="0081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(задач</w:t>
      </w:r>
      <w:r w:rsidR="0081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которых необходимо достичь, чтобы улучшить (развить) рассмотренную оценку текущего состояния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7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07D7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07D7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потенциальности банкротства коммерческих организаций</w:t>
      </w:r>
      <w:r w:rsidR="008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итогам п. 3 и п. 4)</w:t>
      </w:r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(этап – описание стратегии изменений)</w:t>
      </w:r>
    </w:p>
    <w:p w:rsidR="00815A9E" w:rsidRDefault="00F75867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Указать конкретные позиции, которые необходимо изменить в оценке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устойчивого </w:t>
      </w:r>
      <w:proofErr w:type="gramStart"/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08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E008E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потенциальности банкротства коммерческих организаций</w:t>
      </w:r>
      <w:proofErr w:type="gramEnd"/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описанных ранее проблем и недостатков по этому направлению (п.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00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рассмотренной существующей оценки (п. 3 и п. 4)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предложения</w:t>
      </w:r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изменению существующей </w:t>
      </w:r>
      <w:proofErr w:type="gramStart"/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="0029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29435D" w:rsidRPr="00AC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D4F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C0D4F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потенциальности банкротства коммерческих</w:t>
      </w:r>
      <w:proofErr w:type="gramEnd"/>
      <w:r w:rsidR="003C0D4F" w:rsidRPr="006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E0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(этап – описание стратегии изменений)</w:t>
      </w:r>
    </w:p>
    <w:p w:rsidR="006834DE" w:rsidRDefault="006834DE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DE" w:rsidRDefault="006834DE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DE" w:rsidRDefault="00EC665C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необходимо указать ссылки на все </w:t>
      </w:r>
      <w:r w:rsidR="0036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источники информации. Ссылки на используемые электронные ресурсы </w:t>
      </w:r>
      <w:r w:rsidR="0036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действующими. </w:t>
      </w:r>
      <w:r w:rsidR="00FF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использование зарубежных источников.</w:t>
      </w:r>
      <w:r w:rsidR="0025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4DE" w:rsidRPr="0042658F" w:rsidRDefault="006834DE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8F" w:rsidRPr="0042658F" w:rsidRDefault="0042658F" w:rsidP="0018494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6D6" w:rsidRPr="00BD56D6" w:rsidRDefault="0091757B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BD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</w:t>
      </w:r>
      <w:r w:rsidR="001D6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</w:t>
      </w:r>
      <w:r w:rsidR="00BD56D6" w:rsidRPr="00BD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BD56D6" w:rsidRPr="00BD56D6" w:rsidRDefault="00BD56D6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6D6" w:rsidRDefault="00BD56D6" w:rsidP="0018494F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Законченная </w:t>
      </w:r>
      <w:r w:rsidR="00EE6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содержащая все требуемые элементы оформления, вставленная в обложку и скрепленная по левому краю, сдается для проверки на кафедру. Если </w:t>
      </w:r>
      <w:r w:rsidR="001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выполнена в соответствии с изложенными требованиями кафедры,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и 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ее к защите и возвращает студенту. Если в работе имеются ошибки, руководитель на полях или в рецензии делает соответствующие замечания. После проверки студент должен внести поправки на дополнительных листах или на полях </w:t>
      </w:r>
      <w:r w:rsid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Подписанная руководителем </w:t>
      </w:r>
      <w:r w:rsid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защищается в назначенные сроки. Защита </w:t>
      </w:r>
      <w:r w:rsid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должна быть проведена до начала сессии. При защите студент кратко излагает основные положения работы, последовательность расчетов, свои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защите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студент должен свободно ориентироваться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</w:t>
      </w:r>
      <w:r w:rsidRPr="00BD56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знать основные формулы и показатели, использованные при ее написании, уметь грамотно формулировать аналитические выводы.</w:t>
      </w:r>
    </w:p>
    <w:p w:rsidR="00BD56D6" w:rsidRDefault="00BD56D6" w:rsidP="00BD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D6" w:rsidRPr="00BD56D6" w:rsidRDefault="00BD56D6" w:rsidP="00BD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6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Критерии оценки</w:t>
      </w:r>
      <w:r w:rsidRPr="00BD5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D56D6" w:rsidRPr="00487B5F" w:rsidRDefault="00BD56D6" w:rsidP="00BD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F84" w:rsidRPr="003B5F84" w:rsidRDefault="003B5F84" w:rsidP="003B5F84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- 84-100 баллов (оценка «отлично») - изложенный материал фактически верен, наличие глубоких исчерпывающих знаний в объеме пройденной программы дисциплины в соответствии с поставленными программой курса целями и задачами обучения; правильные, уверенные действия по применению полученных знаний на практике, грамотное и логически стройное изложение материала при ответе, усвоение основной и знакомство с дополнительной литературой;</w:t>
      </w:r>
      <w:proofErr w:type="gramEnd"/>
    </w:p>
    <w:p w:rsidR="003B5F84" w:rsidRPr="003B5F84" w:rsidRDefault="003B5F84" w:rsidP="003B5F84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- 67-83 баллов (оценка «хорошо») - наличие твердых и достаточно полных знаний в объеме пройденной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</w:t>
      </w:r>
      <w:proofErr w:type="gramStart"/>
      <w:r w:rsidRP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усвоил основную литературу, рекомендованную в рабочей программе дисциплины;</w:t>
      </w:r>
    </w:p>
    <w:p w:rsidR="003B5F84" w:rsidRPr="003B5F84" w:rsidRDefault="003B5F84" w:rsidP="003B5F84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- 50-66 баллов (оценка удовлетворительно) - наличие твердых знаний в объеме пройденного курса в соответствии с целями обучения, изложение ответов с отдельными ошибками, уверенно исправленными после дополнительных вопросов; правильные в целом действия по применению знаний на практике;</w:t>
      </w:r>
    </w:p>
    <w:p w:rsidR="00BD56D6" w:rsidRDefault="003B5F84" w:rsidP="003B5F84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84">
        <w:rPr>
          <w:rFonts w:ascii="Times New Roman" w:eastAsia="Times New Roman" w:hAnsi="Times New Roman" w:cs="Times New Roman"/>
          <w:sz w:val="24"/>
          <w:szCs w:val="24"/>
          <w:lang w:eastAsia="ru-RU"/>
        </w:rPr>
        <w:t>- 0-49 баллов (оценка неудовлетворительно) - ответы не связаны с вопросами, 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1D637C" w:rsidRPr="00BD56D6" w:rsidRDefault="001D637C" w:rsidP="003B5F84">
      <w:pPr>
        <w:tabs>
          <w:tab w:val="left" w:pos="142"/>
          <w:tab w:val="left" w:pos="851"/>
          <w:tab w:val="left" w:pos="9355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744540" w:rsidRDefault="0091757B" w:rsidP="00D603D8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603D8" w:rsidRPr="00D6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ИНФОРМАЦИОННОЕ </w:t>
      </w:r>
      <w:r w:rsidRPr="0074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</w:p>
    <w:p w:rsidR="00D603D8" w:rsidRPr="00744540" w:rsidRDefault="00D603D8" w:rsidP="00D603D8">
      <w:pPr>
        <w:shd w:val="clear" w:color="auto" w:fill="FFFFFF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795"/>
        <w:gridCol w:w="3011"/>
        <w:gridCol w:w="2063"/>
        <w:gridCol w:w="1925"/>
      </w:tblGrid>
      <w:tr w:rsidR="00744540" w:rsidRPr="00744540" w:rsidTr="00CA2802">
        <w:trPr>
          <w:trHeight w:hRule="exact" w:val="277"/>
        </w:trPr>
        <w:tc>
          <w:tcPr>
            <w:tcW w:w="9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</w:tc>
      </w:tr>
      <w:tr w:rsidR="00744540" w:rsidRPr="00744540" w:rsidTr="00CA2802">
        <w:trPr>
          <w:trHeight w:hRule="exact" w:val="277"/>
        </w:trPr>
        <w:tc>
          <w:tcPr>
            <w:tcW w:w="9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Рекомендуемая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744540" w:rsidRPr="00744540" w:rsidTr="00CA2802">
        <w:trPr>
          <w:trHeight w:hRule="exact" w:val="277"/>
        </w:trPr>
        <w:tc>
          <w:tcPr>
            <w:tcW w:w="9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744540" w:rsidRPr="00744540" w:rsidTr="00CA2802">
        <w:trPr>
          <w:trHeight w:hRule="exact" w:val="27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Авторы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составители</w:t>
            </w:r>
            <w:proofErr w:type="spellEnd"/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Заглавие</w:t>
            </w:r>
            <w:proofErr w:type="spell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Издательство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Колич-во</w:t>
            </w:r>
            <w:proofErr w:type="spellEnd"/>
          </w:p>
        </w:tc>
      </w:tr>
      <w:tr w:rsidR="00744540" w:rsidRPr="00744540" w:rsidTr="00CA2802">
        <w:trPr>
          <w:trHeight w:hRule="exact" w:val="135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CA2802" w:rsidRDefault="00CA2802" w:rsidP="007445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С.Д. Резник, М.В. </w:t>
            </w:r>
            <w:proofErr w:type="spellStart"/>
            <w:r w:rsidRPr="00CA2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Черниковская</w:t>
            </w:r>
            <w:proofErr w:type="spellEnd"/>
            <w:r w:rsidRPr="00CA2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И.С. Чемезов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CA2802" w:rsidP="007445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2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изменениями: учебник / С.Д. Резник, М.В. </w:t>
            </w:r>
            <w:proofErr w:type="spellStart"/>
            <w:r w:rsidRPr="00CA2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Черниковская</w:t>
            </w:r>
            <w:proofErr w:type="spellEnd"/>
            <w:r w:rsidRPr="00CA2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И.С. Чемезов.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CA2802" w:rsidP="007445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CA2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Пенза: ПГУАС, 2013. – 384 с.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7F1A9F" w:rsidRPr="00744540" w:rsidTr="00930607">
        <w:trPr>
          <w:trHeight w:hRule="exact" w:val="1639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744540" w:rsidRDefault="001D3E5F" w:rsidP="007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CA2802" w:rsidRDefault="007F1A9F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CA2802" w:rsidRDefault="006A1232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Устойчивое</w:t>
            </w:r>
            <w:proofErr w:type="spellEnd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развитие: Новые вызовы: Учебник для вузов/ Под общ</w:t>
            </w:r>
            <w:proofErr w:type="gramStart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В. И. Данилова-</w:t>
            </w:r>
            <w:proofErr w:type="spellStart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Данильяна</w:t>
            </w:r>
            <w:proofErr w:type="spellEnd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 А. </w:t>
            </w:r>
            <w:proofErr w:type="spellStart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Пискуловои</w:t>
            </w:r>
            <w:proofErr w:type="spellEnd"/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̆.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CA2802" w:rsidRDefault="006A1232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Издательство «Аспект Пресс», 2015. — 336 c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7F1A9F" w:rsidRDefault="007F1A9F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744540" w:rsidRPr="007F1A9F" w:rsidTr="00930607">
        <w:trPr>
          <w:trHeight w:hRule="exact" w:val="12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F1A9F" w:rsidRDefault="001D3E5F" w:rsidP="007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F1A9F" w:rsidRDefault="007F1A9F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9F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Гончаров, С. А. Зинченко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7F1A9F" w:rsidRDefault="007F1A9F" w:rsidP="007F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банкротства коммерческой организации. Методология и правовые механизмы</w:t>
            </w:r>
          </w:p>
          <w:p w:rsidR="00744540" w:rsidRPr="007F1A9F" w:rsidRDefault="00744540" w:rsidP="007F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F1A9F" w:rsidRDefault="008B24B1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B1">
              <w:rPr>
                <w:rFonts w:ascii="Times New Roman" w:eastAsia="Times New Roman" w:hAnsi="Times New Roman" w:cs="Times New Roman"/>
                <w:sz w:val="24"/>
                <w:szCs w:val="24"/>
              </w:rPr>
              <w:t>ИД «Юриспруденция»,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760 стр.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F1A9F" w:rsidRDefault="00744540" w:rsidP="007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232" w:rsidRPr="007F1A9F" w:rsidTr="006A1232">
        <w:trPr>
          <w:trHeight w:hRule="exact" w:val="133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232" w:rsidRDefault="006A1232" w:rsidP="007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232" w:rsidRPr="007F1A9F" w:rsidRDefault="006A1232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232" w:rsidRPr="007F1A9F" w:rsidRDefault="006A1232" w:rsidP="007F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и эффективные механизмы </w:t>
            </w:r>
            <w:proofErr w:type="spellStart"/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устойчивого</w:t>
            </w:r>
            <w:proofErr w:type="spellEnd"/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развития: монография / Под общ</w:t>
            </w:r>
            <w:proofErr w:type="gramStart"/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Г. Ю. Гуляева 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232" w:rsidRPr="008B24B1" w:rsidRDefault="006A1232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32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МЦНС «Наука и Просвещение». — 2020. — 148 с.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232" w:rsidRPr="007F1A9F" w:rsidRDefault="006A1232" w:rsidP="007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540" w:rsidRPr="00744540" w:rsidTr="00CA2802">
        <w:trPr>
          <w:trHeight w:hRule="exact" w:val="277"/>
        </w:trPr>
        <w:tc>
          <w:tcPr>
            <w:tcW w:w="9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4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ресурсов информационно-телекоммуникационной сети "Интернет"</w:t>
            </w:r>
          </w:p>
        </w:tc>
      </w:tr>
      <w:tr w:rsidR="00744540" w:rsidRPr="00744540" w:rsidTr="00CA2802">
        <w:trPr>
          <w:trHeight w:hRule="exact" w:val="27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F1A9F" w:rsidRDefault="00366ED4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8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СПАРК Проверка контрагента 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spark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interfax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44540" w:rsidRPr="00744540" w:rsidTr="00CA2802">
        <w:trPr>
          <w:trHeight w:hRule="exact" w:val="27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F1A9F" w:rsidRDefault="00366ED4" w:rsidP="0074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8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540" w:rsidRPr="00744540" w:rsidRDefault="00744540" w:rsidP="007445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федеральная служба государственной статистики 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qks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74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F1A9F" w:rsidRPr="00744540" w:rsidTr="007F1A9F">
        <w:trPr>
          <w:trHeight w:hRule="exact" w:val="802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366ED4" w:rsidRDefault="00366ED4" w:rsidP="007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A9F" w:rsidRPr="00744540" w:rsidRDefault="007F1A9F" w:rsidP="0074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прогнозирование отраслей и рынков. </w:t>
            </w:r>
            <w:r w:rsidR="002A2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ационный портал</w:t>
            </w:r>
            <w:r w:rsidR="002A2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https://3dpro.info/?yclid=7199419182983438936 </w:t>
            </w:r>
          </w:p>
        </w:tc>
      </w:tr>
    </w:tbl>
    <w:p w:rsidR="00D603D8" w:rsidRPr="00744540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57B" w:rsidRPr="00744540" w:rsidRDefault="0091757B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540" w:rsidRDefault="00744540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540" w:rsidRDefault="00744540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540" w:rsidRDefault="00744540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540" w:rsidRDefault="00744540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02" w:rsidRDefault="00CA2802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892A1B"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И </w:t>
      </w:r>
      <w:r w:rsidR="0089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</w:t>
      </w: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РОССИЙСКОЙ ФЕДЕРАЦИИ</w:t>
      </w: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Ростовский государственный экономический университет «РИНХ»</w:t>
      </w: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«Анализ хозяйственной деятельности и прогнозирование»</w:t>
      </w: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Default="001D637C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</w:t>
      </w:r>
      <w:r w:rsidR="00D603D8" w:rsidRPr="00D6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744540" w:rsidRPr="0074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2A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УПРАВЛЕНИЕ ИЗМЕНЕНИЯМИ</w:t>
      </w:r>
      <w:r w:rsidR="00744540" w:rsidRPr="0074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ОРГАНИЗАЦИИ</w:t>
      </w:r>
      <w:r w:rsidRPr="00D6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___</w:t>
      </w:r>
    </w:p>
    <w:p w:rsidR="00D603D8" w:rsidRPr="00D603D8" w:rsidRDefault="00D603D8" w:rsidP="00D6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03D8" w:rsidRPr="00D603D8" w:rsidRDefault="00D603D8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Ф.И.О. (в </w:t>
      </w:r>
      <w:proofErr w:type="spellStart"/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proofErr w:type="gramStart"/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>адеже</w:t>
      </w:r>
      <w:proofErr w:type="spellEnd"/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</w:p>
    <w:p w:rsidR="00D603D8" w:rsidRPr="00D603D8" w:rsidRDefault="00744540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</w:t>
      </w:r>
      <w:r w:rsidR="00D603D8"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38.0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03D8"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>.01.09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Бизнес-анализ и прогнозирование в организациях»</w:t>
      </w:r>
      <w:r w:rsidR="00D603D8"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03D8" w:rsidRPr="00D603D8" w:rsidRDefault="00D603D8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Проверил</w:t>
      </w:r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D603D8" w:rsidRDefault="00D603D8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2A2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д.э.н., профессор Чернышева Ю.Г.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</w:p>
    <w:p w:rsidR="00D603D8" w:rsidRPr="00D603D8" w:rsidRDefault="00D603D8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lang w:eastAsia="ru-RU"/>
        </w:rPr>
      </w:pPr>
      <w:r w:rsidRPr="00D603D8">
        <w:rPr>
          <w:rFonts w:ascii="Times New Roman" w:eastAsia="Calibri" w:hAnsi="Times New Roman" w:cs="Times New Roman"/>
          <w:lang w:eastAsia="ru-RU"/>
        </w:rPr>
        <w:t xml:space="preserve">уч. степень, звание </w:t>
      </w:r>
    </w:p>
    <w:p w:rsidR="00D603D8" w:rsidRDefault="00D603D8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допущена к защите «__»____20</w:t>
      </w:r>
      <w:r w:rsidR="0074454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__г. </w:t>
      </w:r>
    </w:p>
    <w:p w:rsidR="00D603D8" w:rsidRPr="00D603D8" w:rsidRDefault="00D603D8" w:rsidP="00D603D8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Calibri" w:hAnsi="Times New Roman" w:cs="Times New Roman"/>
          <w:sz w:val="28"/>
          <w:szCs w:val="28"/>
          <w:lang w:eastAsia="ru-RU"/>
        </w:rPr>
        <w:t>Оценка:_____________</w:t>
      </w:r>
    </w:p>
    <w:p w:rsidR="00D603D8" w:rsidRPr="00D603D8" w:rsidRDefault="00D603D8" w:rsidP="00D603D8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Default="00D603D8" w:rsidP="002A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Default="00D603D8" w:rsidP="00D603D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201___г.</w:t>
      </w:r>
    </w:p>
    <w:p w:rsid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603D8" w:rsidRP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АНАЛИТИЧЕСКОЙ ТАБЛИЦЫ</w:t>
      </w: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1- Анализ коэффициентов платежеспособности</w:t>
      </w:r>
    </w:p>
    <w:tbl>
      <w:tblPr>
        <w:tblW w:w="6818" w:type="dxa"/>
        <w:tblInd w:w="-4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2160"/>
        <w:gridCol w:w="900"/>
        <w:gridCol w:w="1260"/>
        <w:gridCol w:w="1080"/>
        <w:gridCol w:w="900"/>
      </w:tblGrid>
      <w:tr w:rsidR="00D603D8" w:rsidRPr="00D603D8" w:rsidTr="006B2542"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Нормальное ограничение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начало года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конец периода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</w:t>
            </w:r>
          </w:p>
          <w:p w:rsidR="00D603D8" w:rsidRPr="00D603D8" w:rsidRDefault="00D603D8" w:rsidP="00D603D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</w:tr>
      <w:tr w:rsidR="00D603D8" w:rsidRPr="00D603D8" w:rsidTr="006B2542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603D8" w:rsidRPr="00D603D8" w:rsidTr="006B2542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Коэффициент абсолютной ликвидности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≥ 0,2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03D8" w:rsidRPr="00D603D8" w:rsidTr="006B2542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Коэффициент срочной ликвидности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≥ 0,7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03D8" w:rsidRPr="00D603D8" w:rsidTr="006B2542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Коэффициент текущей ликвидности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≥ 1,5-2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3D8" w:rsidRPr="00D603D8" w:rsidRDefault="00D603D8" w:rsidP="00D603D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ind w:left="-142" w:right="-283" w:firstLine="426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3</w:t>
      </w:r>
    </w:p>
    <w:p w:rsidR="00D603D8" w:rsidRPr="00D603D8" w:rsidRDefault="00D603D8" w:rsidP="00D603D8">
      <w:pPr>
        <w:spacing w:after="0" w:line="240" w:lineRule="auto"/>
        <w:ind w:left="-142" w:right="-283" w:firstLine="426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D603D8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образец ОФОРМЛЕНИЯ БИБЛИОГРАФИЧЕСКОГО СПИСКА</w:t>
      </w:r>
    </w:p>
    <w:p w:rsidR="00D603D8" w:rsidRPr="00D603D8" w:rsidRDefault="00D603D8" w:rsidP="00D603D8">
      <w:pPr>
        <w:keepNext/>
        <w:spacing w:after="0" w:line="240" w:lineRule="auto"/>
        <w:ind w:left="-142" w:right="-283" w:firstLine="426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bookmarkStart w:id="1" w:name="_Toc168422560"/>
    </w:p>
    <w:p w:rsidR="00D603D8" w:rsidRPr="00D603D8" w:rsidRDefault="00D603D8" w:rsidP="00D603D8">
      <w:pPr>
        <w:keepNext/>
        <w:spacing w:after="0" w:line="240" w:lineRule="auto"/>
        <w:ind w:left="-142" w:right="-283" w:firstLine="426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603D8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БИБЛИОГРАФИЧЕСКИЙ СПИСОК </w:t>
      </w:r>
      <w:bookmarkEnd w:id="1"/>
    </w:p>
    <w:p w:rsidR="00D603D8" w:rsidRPr="00D603D8" w:rsidRDefault="00D603D8" w:rsidP="00D603D8">
      <w:pPr>
        <w:spacing w:after="0" w:line="240" w:lineRule="auto"/>
        <w:ind w:left="-142" w:right="-283" w:firstLine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auto"/>
        <w:ind w:left="-142" w:right="-28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ind w:left="-142" w:right="-28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</w:p>
    <w:p w:rsidR="00D603D8" w:rsidRPr="00D603D8" w:rsidRDefault="00D603D8" w:rsidP="00D603D8">
      <w:pPr>
        <w:spacing w:after="0" w:line="240" w:lineRule="auto"/>
        <w:ind w:left="-142" w:right="-283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Бизнес-анализ деятельности организации.: учебник</w:t>
      </w:r>
      <w:proofErr w:type="gramStart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Усенко Л.Н. – </w:t>
      </w:r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Инфра-М, Альфа-М, 201</w:t>
      </w:r>
      <w:r w:rsidR="00B50F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.- 560 стр.</w:t>
      </w:r>
    </w:p>
    <w:p w:rsidR="00D603D8" w:rsidRPr="00D603D8" w:rsidRDefault="00D603D8" w:rsidP="00D603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Радченко Ю.В. Экономико-математические методы в учете и анализе: учебное пособие / Рост. гос. </w:t>
      </w:r>
      <w:proofErr w:type="spellStart"/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 (РИНХ) – Ростов-н</w:t>
      </w:r>
      <w:proofErr w:type="gramStart"/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2013.- 96с.</w:t>
      </w:r>
    </w:p>
    <w:p w:rsidR="00D603D8" w:rsidRPr="00D603D8" w:rsidRDefault="00D603D8" w:rsidP="00D603D8">
      <w:pPr>
        <w:spacing w:after="0" w:line="240" w:lineRule="auto"/>
        <w:ind w:left="-142" w:right="-283"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3D8" w:rsidRPr="00D603D8" w:rsidRDefault="00D603D8" w:rsidP="00D603D8">
      <w:pPr>
        <w:spacing w:after="0" w:line="240" w:lineRule="auto"/>
        <w:ind w:left="-142" w:right="-28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</w:t>
      </w:r>
    </w:p>
    <w:p w:rsidR="00D603D8" w:rsidRPr="00D603D8" w:rsidRDefault="00D603D8" w:rsidP="00D603D8">
      <w:pPr>
        <w:autoSpaceDE w:val="0"/>
        <w:autoSpaceDN w:val="0"/>
        <w:adjustRightInd w:val="0"/>
        <w:spacing w:after="0" w:line="240" w:lineRule="auto"/>
        <w:ind w:left="-142" w:right="-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3D8" w:rsidRPr="00D603D8" w:rsidRDefault="00D603D8" w:rsidP="00D603D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 w:right="-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Экономический анализ предприятия. [Электронный ресурс] / К. Кислов. // Режим доступа: </w:t>
      </w:r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D6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kiko</w:t>
        </w:r>
        <w:proofErr w:type="spellEnd"/>
        <w:r w:rsidRPr="00D6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success</w:t>
        </w:r>
        <w:r w:rsidRPr="00D6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D6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D6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konomicheskij</w:t>
        </w:r>
        <w:proofErr w:type="spellEnd"/>
        <w:r w:rsidRPr="00D6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analiz</w:t>
        </w:r>
        <w:proofErr w:type="spellEnd"/>
        <w:r w:rsidRPr="00D6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D603D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predpriyatiya</w:t>
        </w:r>
        <w:proofErr w:type="spellEnd"/>
      </w:hyperlink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Опубли</w:t>
      </w:r>
      <w:r w:rsidRPr="00D6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ковано январь 9, 2014 </w:t>
      </w:r>
    </w:p>
    <w:p w:rsidR="00D603D8" w:rsidRPr="00D603D8" w:rsidRDefault="00D603D8" w:rsidP="00D603D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 w:right="-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жилищных правах научных работников [Электронный ресурс]: постановление ВЦИК, СНК РСФСР от 20 авг. 1933 г. (с изм. и доп., внесенными постановлениями ВЦИК, СНК РСФСР от 1 </w:t>
      </w:r>
      <w:proofErr w:type="spellStart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. 1934 г., от 24 июня 1938 г.). Доступ из справ</w:t>
      </w:r>
      <w:proofErr w:type="gramStart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D603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03D8" w:rsidRPr="00D603D8" w:rsidRDefault="00D603D8" w:rsidP="00D603D8">
      <w:pPr>
        <w:spacing w:after="0" w:line="240" w:lineRule="auto"/>
        <w:ind w:left="-142" w:right="-283" w:firstLine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auto"/>
        <w:ind w:left="-142" w:right="-283" w:firstLine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auto"/>
        <w:ind w:left="-142" w:right="-283" w:firstLine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2F8" w:rsidRDefault="005B32F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Default="00D603D8" w:rsidP="00D60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Pr="00D603D8" w:rsidRDefault="002A2841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УПРАВЛЕНИЕ ИЗМЕНЕНИЯМИ</w:t>
      </w:r>
      <w:r w:rsidRPr="0074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ОРГАНИЗАЦИИ</w:t>
      </w: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Pr="007F2093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и методические рекомендации по выполнению</w:t>
      </w:r>
      <w:r w:rsidRPr="002D3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курсовой</w:t>
      </w:r>
      <w:r w:rsidRPr="002D3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841" w:rsidRPr="00D603D8" w:rsidRDefault="002A2841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1B" w:rsidRPr="00892A1B" w:rsidRDefault="00892A1B" w:rsidP="0089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8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бакалавров</w:t>
      </w:r>
      <w:proofErr w:type="gramEnd"/>
      <w:r w:rsidRPr="008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по направлению </w:t>
      </w:r>
    </w:p>
    <w:p w:rsidR="00892A1B" w:rsidRPr="00892A1B" w:rsidRDefault="00892A1B" w:rsidP="0089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38.03.01 «Экономика»</w:t>
      </w:r>
    </w:p>
    <w:p w:rsidR="00892A1B" w:rsidRPr="00892A1B" w:rsidRDefault="00892A1B" w:rsidP="0089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 </w:t>
      </w:r>
    </w:p>
    <w:p w:rsidR="002A2841" w:rsidRDefault="002A2841" w:rsidP="0089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841" w:rsidRDefault="002A2841" w:rsidP="0089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D8" w:rsidRPr="00D603D8" w:rsidRDefault="00892A1B" w:rsidP="0089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38.03.01.09 «Бизнес-анализ и прогнозирование в организациях»</w:t>
      </w: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D8" w:rsidRPr="00D603D8" w:rsidRDefault="00D603D8" w:rsidP="00D6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 Юлия Гарьевна</w:t>
      </w:r>
    </w:p>
    <w:p w:rsidR="00D603D8" w:rsidRPr="00D603D8" w:rsidRDefault="00D603D8" w:rsidP="00D603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4AE" w:rsidRDefault="003704AE" w:rsidP="00370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7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681"/>
    <w:multiLevelType w:val="hybridMultilevel"/>
    <w:tmpl w:val="84A8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518"/>
    <w:multiLevelType w:val="hybridMultilevel"/>
    <w:tmpl w:val="FF3A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BD"/>
    <w:multiLevelType w:val="hybridMultilevel"/>
    <w:tmpl w:val="25B8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D1090"/>
    <w:multiLevelType w:val="hybridMultilevel"/>
    <w:tmpl w:val="2F86970A"/>
    <w:lvl w:ilvl="0" w:tplc="A3A22D2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B65FE"/>
    <w:multiLevelType w:val="hybridMultilevel"/>
    <w:tmpl w:val="1FCADCC6"/>
    <w:lvl w:ilvl="0" w:tplc="EC26138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857B1"/>
    <w:multiLevelType w:val="hybridMultilevel"/>
    <w:tmpl w:val="BC2E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0F86"/>
    <w:multiLevelType w:val="hybridMultilevel"/>
    <w:tmpl w:val="9432CB22"/>
    <w:lvl w:ilvl="0" w:tplc="B8C8846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40E43E06"/>
    <w:multiLevelType w:val="hybridMultilevel"/>
    <w:tmpl w:val="CB90D04C"/>
    <w:lvl w:ilvl="0" w:tplc="4DD0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A063A"/>
    <w:multiLevelType w:val="hybridMultilevel"/>
    <w:tmpl w:val="DBE2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66A"/>
    <w:multiLevelType w:val="hybridMultilevel"/>
    <w:tmpl w:val="44BA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05054"/>
    <w:multiLevelType w:val="hybridMultilevel"/>
    <w:tmpl w:val="CB90D04C"/>
    <w:lvl w:ilvl="0" w:tplc="4DD0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3DCC"/>
    <w:multiLevelType w:val="hybridMultilevel"/>
    <w:tmpl w:val="E008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32A36"/>
    <w:multiLevelType w:val="hybridMultilevel"/>
    <w:tmpl w:val="0E2AE3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9285E"/>
    <w:multiLevelType w:val="hybridMultilevel"/>
    <w:tmpl w:val="940AE768"/>
    <w:lvl w:ilvl="0" w:tplc="7A06AB3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96E47DE"/>
    <w:multiLevelType w:val="hybridMultilevel"/>
    <w:tmpl w:val="03E009BA"/>
    <w:lvl w:ilvl="0" w:tplc="25FC7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AE"/>
    <w:rsid w:val="00021CE7"/>
    <w:rsid w:val="00070DAE"/>
    <w:rsid w:val="000A7E20"/>
    <w:rsid w:val="000C2CE5"/>
    <w:rsid w:val="000D3E87"/>
    <w:rsid w:val="000E615B"/>
    <w:rsid w:val="00103C3F"/>
    <w:rsid w:val="0018494F"/>
    <w:rsid w:val="00186663"/>
    <w:rsid w:val="001D3E5F"/>
    <w:rsid w:val="001D637C"/>
    <w:rsid w:val="001F5B03"/>
    <w:rsid w:val="00204951"/>
    <w:rsid w:val="00244414"/>
    <w:rsid w:val="0025137B"/>
    <w:rsid w:val="00277993"/>
    <w:rsid w:val="0029435D"/>
    <w:rsid w:val="002A0F78"/>
    <w:rsid w:val="002A2841"/>
    <w:rsid w:val="002B060B"/>
    <w:rsid w:val="002D3069"/>
    <w:rsid w:val="0033374B"/>
    <w:rsid w:val="003421AF"/>
    <w:rsid w:val="00366939"/>
    <w:rsid w:val="00366ED4"/>
    <w:rsid w:val="0036714B"/>
    <w:rsid w:val="003704AE"/>
    <w:rsid w:val="003A575A"/>
    <w:rsid w:val="003B5F84"/>
    <w:rsid w:val="003C0D4F"/>
    <w:rsid w:val="003D045C"/>
    <w:rsid w:val="0042658F"/>
    <w:rsid w:val="0043599C"/>
    <w:rsid w:val="004645B2"/>
    <w:rsid w:val="00486402"/>
    <w:rsid w:val="00507D7E"/>
    <w:rsid w:val="0051055F"/>
    <w:rsid w:val="00522A35"/>
    <w:rsid w:val="0057413E"/>
    <w:rsid w:val="00586805"/>
    <w:rsid w:val="005B32F8"/>
    <w:rsid w:val="005D0297"/>
    <w:rsid w:val="005E1389"/>
    <w:rsid w:val="005F4A46"/>
    <w:rsid w:val="005F6A21"/>
    <w:rsid w:val="00600B86"/>
    <w:rsid w:val="00651C1F"/>
    <w:rsid w:val="00660682"/>
    <w:rsid w:val="00676B52"/>
    <w:rsid w:val="006834DE"/>
    <w:rsid w:val="006A1232"/>
    <w:rsid w:val="00700B59"/>
    <w:rsid w:val="0074373E"/>
    <w:rsid w:val="00744540"/>
    <w:rsid w:val="007A10D7"/>
    <w:rsid w:val="007F1A9F"/>
    <w:rsid w:val="007F2093"/>
    <w:rsid w:val="00807021"/>
    <w:rsid w:val="00815A9E"/>
    <w:rsid w:val="00817773"/>
    <w:rsid w:val="00892A1B"/>
    <w:rsid w:val="008B24B1"/>
    <w:rsid w:val="008D3AE0"/>
    <w:rsid w:val="00902529"/>
    <w:rsid w:val="0091757B"/>
    <w:rsid w:val="00930607"/>
    <w:rsid w:val="009E008E"/>
    <w:rsid w:val="00AB50A0"/>
    <w:rsid w:val="00AC24F0"/>
    <w:rsid w:val="00AF72EA"/>
    <w:rsid w:val="00B50FA2"/>
    <w:rsid w:val="00BD56D6"/>
    <w:rsid w:val="00BF18CA"/>
    <w:rsid w:val="00C40444"/>
    <w:rsid w:val="00C6772E"/>
    <w:rsid w:val="00C74F53"/>
    <w:rsid w:val="00C90EF5"/>
    <w:rsid w:val="00CA04E2"/>
    <w:rsid w:val="00CA2802"/>
    <w:rsid w:val="00CC6137"/>
    <w:rsid w:val="00CD619D"/>
    <w:rsid w:val="00D21814"/>
    <w:rsid w:val="00D57535"/>
    <w:rsid w:val="00D603D8"/>
    <w:rsid w:val="00DE1861"/>
    <w:rsid w:val="00DF5ED9"/>
    <w:rsid w:val="00E02735"/>
    <w:rsid w:val="00EB7AEC"/>
    <w:rsid w:val="00EC665C"/>
    <w:rsid w:val="00EE6376"/>
    <w:rsid w:val="00EF5B33"/>
    <w:rsid w:val="00F75867"/>
    <w:rsid w:val="00FC15BC"/>
    <w:rsid w:val="00FD26F3"/>
    <w:rsid w:val="00FE4954"/>
    <w:rsid w:val="00FF415A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D8"/>
    <w:pPr>
      <w:ind w:left="720"/>
      <w:contextualSpacing/>
    </w:pPr>
  </w:style>
  <w:style w:type="character" w:customStyle="1" w:styleId="data">
    <w:name w:val="data"/>
    <w:basedOn w:val="a0"/>
    <w:rsid w:val="00070DAE"/>
  </w:style>
  <w:style w:type="character" w:styleId="a4">
    <w:name w:val="Hyperlink"/>
    <w:basedOn w:val="a0"/>
    <w:uiPriority w:val="99"/>
    <w:unhideWhenUsed/>
    <w:rsid w:val="00070D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A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D8"/>
    <w:pPr>
      <w:ind w:left="720"/>
      <w:contextualSpacing/>
    </w:pPr>
  </w:style>
  <w:style w:type="character" w:customStyle="1" w:styleId="data">
    <w:name w:val="data"/>
    <w:basedOn w:val="a0"/>
    <w:rsid w:val="00070DAE"/>
  </w:style>
  <w:style w:type="character" w:styleId="a4">
    <w:name w:val="Hyperlink"/>
    <w:basedOn w:val="a0"/>
    <w:uiPriority w:val="99"/>
    <w:unhideWhenUsed/>
    <w:rsid w:val="00070D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ko-success.com/e-konomicheskij-analiz-predpri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АХД</dc:creator>
  <cp:lastModifiedBy>Алина</cp:lastModifiedBy>
  <cp:revision>10</cp:revision>
  <cp:lastPrinted>2021-04-12T13:18:00Z</cp:lastPrinted>
  <dcterms:created xsi:type="dcterms:W3CDTF">2021-04-08T17:28:00Z</dcterms:created>
  <dcterms:modified xsi:type="dcterms:W3CDTF">2021-04-12T13:18:00Z</dcterms:modified>
</cp:coreProperties>
</file>