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2014 г. N 33685</w:t>
      </w:r>
    </w:p>
    <w:p w:rsidR="00DE0EFA" w:rsidRDefault="00DE0EF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июля 2014 г. N 875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 ПО НАПРАВЛЕНИЮ ПОДГОТОВКИ 09.06.01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ИНФОРМАТИКА И ВЫЧИСЛИТЕЛЬНАЯ ТЕХНИКА (УРОВЕНЬ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ПОДГОТОВКИ КАДРОВ ВЫСШЕЙ КВАЛИФИКАЦИИ)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27, ст. 3776), и </w:t>
      </w:r>
      <w:hyperlink r:id="rId8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высшего образования по направлению подготовки 09.06.01 Информатика и вычислительная техника (уровень подготовки кадров высшей квалификации).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сентября 2014 года.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  <w:r w:rsidR="00C9080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Д.В.ЛИВАНОВ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июля 2014 г. N 875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ВЫСШЕГО ОБРАЗОВАНИЯ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УРОВЕНЬ ВЫСШЕГО ОБРАЗОВАНИЯ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ПОДГОТОВКА КАДРОВ ВЫСШЕЙ КВАЛИФИКАЦИИ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НАПРАВЛЕНИЕ ПОДГОТОВКИ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09.06.01 ИНФОРМАТИКА И ВЫЧИСЛИТЕЛЬНАЯ ТЕХНИКА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I. ОБЛАСТЬ ПРИМЕНЕНИЯ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09.06.01 Информатика и вычислительная техника (далее соответственно - программа аспирантуры, направление подготовки).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ИСПОЛЬЗУЕМЫЕ СОКРАЩЕНИЯ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государственном образовательном стандарте используются следующие сокращения: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высшее образование;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 - универсальные компетенции;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ОПК - общепрофессиональные компетенции;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профессиональные компетенции;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- федеральный государственный образовательный стандарт высшего образования;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сетевая форма - сетевая форма реализации образовательных программ.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НАПРАВЛЕНИЯ ПОДГОТОВКИ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proofErr w:type="gramStart"/>
      <w:r>
        <w:rPr>
          <w:rFonts w:ascii="Calibri" w:hAnsi="Calibri" w:cs="Calibri"/>
        </w:rP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программы аспирантуры составляет 240 зачетных единиц (далее -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 получения образования по программе аспирантуры: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обучении</w:t>
      </w:r>
      <w:proofErr w:type="gramEnd"/>
      <w:r>
        <w:rPr>
          <w:rFonts w:ascii="Calibri" w:hAnsi="Calibri" w:cs="Calibri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rPr>
          <w:rFonts w:ascii="Calibri" w:hAnsi="Calibri" w:cs="Calibri"/>
        </w:rPr>
        <w:t>обучении по</w:t>
      </w:r>
      <w:proofErr w:type="gramEnd"/>
      <w:r>
        <w:rPr>
          <w:rFonts w:ascii="Calibri" w:hAnsi="Calibri" w:cs="Calibri"/>
        </w:rPr>
        <w:t xml:space="preserve"> индивидуальному плану не может составлять более 75 </w:t>
      </w:r>
      <w:proofErr w:type="spellStart"/>
      <w:r>
        <w:rPr>
          <w:rFonts w:ascii="Calibri" w:hAnsi="Calibri" w:cs="Calibri"/>
        </w:rPr>
        <w:t>з.е</w:t>
      </w:r>
      <w:proofErr w:type="spellEnd"/>
      <w:r>
        <w:rPr>
          <w:rFonts w:ascii="Calibri" w:hAnsi="Calibri" w:cs="Calibri"/>
        </w:rPr>
        <w:t>. за один учебный год.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Реализация программы аспирантуры возможна с использованием сетевой формы.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IV. ХАРАКТЕРИСТИКА ПРОФЕССИОНАЛЬНОЙ ДЕЯТЕЛЬНОСТИ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ВЫПУСКНИКОВ, ОСВОИВШИХ ПРОГРАММУ АСПИРАНТУРЫ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выпускников, освоивших программу аспирантуры, включает сферы науки,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выпускников, освоивших программу аспирантуры, являются: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избранная область научного знания, а также научные задачи междисциплинарного характера, содержащие: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вычислительные машины, комплексы, системы и сети;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математическое, информационное, техническое, лингвистическое, 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высокопроизводительные вычисления и суперкомпьютерная техника;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разработки технических средств вычислительной техники и программных продуктов.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Виды профессиональной деятельности, к которым готовятся выпускники, освоившие программу аспирантуры: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преподавательская деятельность по образовательным программам высшего образования.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2"/>
      <w:bookmarkEnd w:id="7"/>
      <w:r>
        <w:rPr>
          <w:rFonts w:ascii="Calibri" w:hAnsi="Calibri" w:cs="Calibri"/>
        </w:rPr>
        <w:t>V. ТРЕБОВАНИЯ К РЕЗУЛЬТАТАМ ОСВОЕНИЯ ПРОГРАММЫ АСПИРАНТУРЫ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 результате освоения программы аспирантуры у выпускника должны быть сформированы: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универсальные компетенции, не зависящие от конкретного направления подготовки;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общепрофессиональные компетенции, определяемые направлением подготовки;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программу аспирантуры, должен обладать следующими универсальными компетенциями: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следовать этическим нормам в профессиональной деятельности (УК-5);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планировать и решать задачи собственного профессионального и личностного развития (УК-6).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Выпускник, освоивший программу аспирантуры, должен обладать следующими общепрофессиональными компетенциями: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культурой научного исследования, в том числе с использованием современных информационно-коммуникационных технологий (ОПК-2);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организовать работу исследовательского коллектива в области профессиональной деятельности (ОПК-4);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объективно оценивать результаты исследований и разработок, выполненных другими специалистами и в других научных учреждениях (ОПК-5);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способностью представлять полученные результаты научно-исследовательской деятельности на высоком уровне и с учетом соблюдения авторских прав (ОПК-6);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 (ОПК-7);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готовностью к преподавательской деятельности по основным образовательным программам высшего образования (ОПК-8).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Подпункт 5.2.73(3)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3776).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9"/>
      <w:bookmarkEnd w:id="8"/>
      <w:r>
        <w:rPr>
          <w:rFonts w:ascii="Calibri" w:hAnsi="Calibri" w:cs="Calibri"/>
        </w:rPr>
        <w:t>VI. ТРЕБОВАНИЯ К СТРУКТУРЕ ПРОГРАММЫ АСПИРАНТУРЫ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Программа аспирантуры состоит из следующих блоков: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1. "Дисциплины (модули)",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2. "Практики",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Блок 3. "Научные исследования",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в полном объеме относится к вариативной части программы.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29"/>
      <w:bookmarkEnd w:id="9"/>
      <w:r>
        <w:rPr>
          <w:rFonts w:ascii="Calibri" w:hAnsi="Calibri" w:cs="Calibri"/>
        </w:rPr>
        <w:t>Структура программы аспирантуры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19"/>
        <w:gridCol w:w="2520"/>
      </w:tblGrid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элемента программы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(в </w:t>
            </w:r>
            <w:proofErr w:type="spellStart"/>
            <w:r>
              <w:rPr>
                <w:rFonts w:ascii="Calibri" w:hAnsi="Calibri" w:cs="Calibri"/>
              </w:rPr>
              <w:t>з.е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1 "Дисциплины (модули)"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2 "Практики"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</w:t>
            </w: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3 "Научные исследования"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E0EFA" w:rsidTr="00C90806">
        <w:trPr>
          <w:jc w:val="center"/>
        </w:trPr>
        <w:tc>
          <w:tcPr>
            <w:tcW w:w="96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30.04.2015 N 464)</w:t>
            </w: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 4 "Государственная итоговая аттестация"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Базовая часть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0EFA" w:rsidTr="00C90806">
        <w:trPr>
          <w:jc w:val="center"/>
        </w:trPr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программы аспирантуры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EFA" w:rsidRDefault="00DE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</w:tbl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E0EFA" w:rsidSect="00C90806">
          <w:pgSz w:w="11905" w:h="16838"/>
          <w:pgMar w:top="567" w:right="567" w:bottom="567" w:left="567" w:header="720" w:footer="720" w:gutter="0"/>
          <w:cols w:space="720"/>
          <w:noEndnote/>
          <w:docGrid w:linePitch="299"/>
        </w:sect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6.3. </w:t>
      </w:r>
      <w:proofErr w:type="gramStart"/>
      <w:r>
        <w:rPr>
          <w:rFonts w:ascii="Calibri" w:hAnsi="Calibri" w:cs="Calibri"/>
        </w:rP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>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Педагогическая практика является обязательной.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проведения практики: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стационарная;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выездная.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Практика может проводиться в структурных подразделениях организации.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6.5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6.6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79"/>
      <w:bookmarkEnd w:id="10"/>
      <w:r>
        <w:rPr>
          <w:rFonts w:ascii="Calibri" w:hAnsi="Calibri" w:cs="Calibri"/>
        </w:rPr>
        <w:t>VII. ТРЕБОВАНИЯ К УСЛОВИЯМ РЕАЛИЗАЦИИ ПРОГРАММЫ АСПИРАНТУРЫ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81"/>
      <w:bookmarkEnd w:id="11"/>
      <w:r>
        <w:rPr>
          <w:rFonts w:ascii="Calibri" w:hAnsi="Calibri" w:cs="Calibri"/>
        </w:rPr>
        <w:t>7.1. Общесистемные требования к реализации программы аспирантуры.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7.1.1. </w:t>
      </w:r>
      <w:proofErr w:type="gramStart"/>
      <w:r>
        <w:rPr>
          <w:rFonts w:ascii="Calibri" w:hAnsi="Calibri" w:cs="Calibri"/>
        </w:rP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</w:t>
      </w:r>
      <w:r>
        <w:rPr>
          <w:rFonts w:ascii="Calibri" w:hAnsi="Calibri" w:cs="Calibri"/>
        </w:rPr>
        <w:lastRenderedPageBreak/>
        <w:t>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Электронная информационно-образовательная среда организации должна обеспечивать: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23, ст. 2870; N 27, ст. 3479; N 52, ст. 6961; N 52, ст. 6963),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31, ст. 4173; N 31, ст. 4196; N 49, ст. 6409; 2011, N 23, ст. 3263; N 31, ст. 4701; 2013, N 14, ст. 1651; N 30, ст. 4038; N 51, ст. 6683).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7.1.5. </w:t>
      </w:r>
      <w:proofErr w:type="gramStart"/>
      <w:r>
        <w:rPr>
          <w:rFonts w:ascii="Calibri" w:hAnsi="Calibri" w:cs="Calibri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ascii="Calibri" w:hAnsi="Calibri" w:cs="Calibri"/>
        </w:rPr>
        <w:t xml:space="preserve"> 20237), и профессиональным стандартам (при наличии).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7.1.7. </w:t>
      </w:r>
      <w:proofErr w:type="gramStart"/>
      <w:r>
        <w:rPr>
          <w:rFonts w:ascii="Calibri" w:hAnsi="Calibri" w:cs="Calibri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>
        <w:rPr>
          <w:rFonts w:ascii="Calibri" w:hAnsi="Calibri" w:cs="Calibri"/>
        </w:rPr>
        <w:t>Web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Science</w:t>
      </w:r>
      <w:proofErr w:type="spellEnd"/>
      <w:r>
        <w:rPr>
          <w:rFonts w:ascii="Calibri" w:hAnsi="Calibri" w:cs="Calibri"/>
        </w:rPr>
        <w:t xml:space="preserve"> или </w:t>
      </w:r>
      <w:proofErr w:type="spellStart"/>
      <w:r>
        <w:rPr>
          <w:rFonts w:ascii="Calibri" w:hAnsi="Calibri" w:cs="Calibri"/>
        </w:rPr>
        <w:t>Scopus</w:t>
      </w:r>
      <w:proofErr w:type="spellEnd"/>
      <w:r>
        <w:rPr>
          <w:rFonts w:ascii="Calibri" w:hAnsi="Calibri" w:cs="Calibri"/>
        </w:rPr>
        <w:t xml:space="preserve">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rFonts w:ascii="Calibri" w:hAnsi="Calibri" w:cs="Calibri"/>
            <w:color w:val="0000FF"/>
          </w:rPr>
          <w:t>пункту 12</w:t>
        </w:r>
      </w:hyperlink>
      <w:r>
        <w:rPr>
          <w:rFonts w:ascii="Calibri" w:hAnsi="Calibri" w:cs="Calibri"/>
        </w:rPr>
        <w:t xml:space="preserve"> Положения</w:t>
      </w:r>
      <w:proofErr w:type="gramEnd"/>
      <w:r>
        <w:rPr>
          <w:rFonts w:ascii="Calibri" w:hAnsi="Calibri" w:cs="Calibri"/>
        </w:rP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4</w:t>
        </w:r>
      </w:hyperlink>
      <w:r>
        <w:rPr>
          <w:rFonts w:ascii="Calibri" w:hAnsi="Calibri" w:cs="Calibri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2013, N 33, ст. 4378).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204"/>
      <w:bookmarkEnd w:id="12"/>
      <w:r>
        <w:rPr>
          <w:rFonts w:ascii="Calibri" w:hAnsi="Calibri" w:cs="Calibri"/>
        </w:rPr>
        <w:t>7.2. Требования к кадровым условиям реализации программы аспирантуры.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7.2.2. </w:t>
      </w:r>
      <w:proofErr w:type="gramStart"/>
      <w:r>
        <w:rPr>
          <w:rFonts w:ascii="Calibri" w:hAnsi="Calibri" w:cs="Calibri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60 процентов.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7.2.3. </w:t>
      </w:r>
      <w:proofErr w:type="gramStart"/>
      <w:r>
        <w:rPr>
          <w:rFonts w:ascii="Calibri" w:hAnsi="Calibri" w:cs="Calibri"/>
        </w:rP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rPr>
          <w:rFonts w:ascii="Calibri" w:hAnsi="Calibri" w:cs="Calibri"/>
        </w:rPr>
        <w:t xml:space="preserve"> научно-исследовательской, творческой деятельности на национальных и международных конференциях.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210"/>
      <w:bookmarkEnd w:id="13"/>
      <w:r>
        <w:rPr>
          <w:rFonts w:ascii="Calibri" w:hAnsi="Calibri" w:cs="Calibri"/>
        </w:rPr>
        <w:t>7.3. Требования к материально-техническому и учебно-методическому обеспечению программы аспирантуры.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30.04.2015 N 464)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осваивать умения и навыки, предусмотренные профессиональной деятельностью.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7.3.4. </w:t>
      </w:r>
      <w:proofErr w:type="gramStart"/>
      <w:r>
        <w:rPr>
          <w:rFonts w:ascii="Calibri" w:hAnsi="Calibri" w:cs="Calibri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</w:t>
      </w:r>
      <w:r>
        <w:rPr>
          <w:rFonts w:ascii="Calibri" w:hAnsi="Calibri" w:cs="Calibri"/>
        </w:rPr>
        <w:lastRenderedPageBreak/>
        <w:t>здоровья.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222"/>
      <w:bookmarkEnd w:id="14"/>
      <w:r>
        <w:rPr>
          <w:rFonts w:ascii="Calibri" w:hAnsi="Calibri" w:cs="Calibri"/>
        </w:rPr>
        <w:t>7.4. Требования к финансовому обеспечению программы аспирантуры.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7.4.1. </w:t>
      </w:r>
      <w:proofErr w:type="gramStart"/>
      <w:r>
        <w:rPr>
          <w:rFonts w:ascii="Calibri" w:hAnsi="Calibri" w:cs="Calibri"/>
        </w:rP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ascii="Calibri" w:hAnsi="Calibri" w:cs="Calibri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E0EFA" w:rsidRDefault="00DE0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5" w:name="_GoBack"/>
      <w:bookmarkEnd w:id="15"/>
    </w:p>
    <w:sectPr w:rsidR="00DE0EFA" w:rsidSect="00C90806">
      <w:pgSz w:w="11905" w:h="168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FA"/>
    <w:rsid w:val="00611340"/>
    <w:rsid w:val="00C90806"/>
    <w:rsid w:val="00DE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C1EDB2299F33C0E7CC362E7571774BF4101C2C38A991C94ACBE2105DC7EF21F064F2161345E5EV3PAQ" TargetMode="External"/><Relationship Id="rId13" Type="http://schemas.openxmlformats.org/officeDocument/2006/relationships/hyperlink" Target="consultantplus://offline/ref=95CC1EDB2299F33C0E7CC362E7571774BF410FC3C78F991C94ACBE2105DC7EF21F064F2161345E59V3P8Q" TargetMode="External"/><Relationship Id="rId18" Type="http://schemas.openxmlformats.org/officeDocument/2006/relationships/hyperlink" Target="consultantplus://offline/ref=95CC1EDB2299F33C0E7CC362E7571774BF4F09C0C58D991C94ACBE2105DC7EF21F064F2161345F52V3P1Q" TargetMode="External"/><Relationship Id="rId26" Type="http://schemas.openxmlformats.org/officeDocument/2006/relationships/hyperlink" Target="consultantplus://offline/ref=95CC1EDB2299F33C0E7CC362E7571774BF420BC5C38D991C94ACBE2105DC7EF21F064F2161345E5BV3PA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CC1EDB2299F33C0E7CC362E7571774BF460BC0C28B991C94ACBE2105DC7EF21F064F2161345E5BV3P8Q" TargetMode="External"/><Relationship Id="rId7" Type="http://schemas.openxmlformats.org/officeDocument/2006/relationships/hyperlink" Target="consultantplus://offline/ref=95CC1EDB2299F33C0E7CC362E7571774BF410CC6C784991C94ACBE2105DC7EF21F064F2161345E5CV3P9Q" TargetMode="External"/><Relationship Id="rId12" Type="http://schemas.openxmlformats.org/officeDocument/2006/relationships/hyperlink" Target="consultantplus://offline/ref=95CC1EDB2299F33C0E7CC362E7571774BF4F09C0C58D991C94ACBE2105DC7EF21F064F2161345F52V3P8Q" TargetMode="External"/><Relationship Id="rId17" Type="http://schemas.openxmlformats.org/officeDocument/2006/relationships/hyperlink" Target="consultantplus://offline/ref=95CC1EDB2299F33C0E7CC362E7571774BF4F09C0C58D991C94ACBE2105DC7EF21F064F2161345F52V3PCQ" TargetMode="External"/><Relationship Id="rId25" Type="http://schemas.openxmlformats.org/officeDocument/2006/relationships/hyperlink" Target="consultantplus://offline/ref=95CC1EDB2299F33C0E7CC362E7571774BF4F09C0C58D991C94ACBE2105DC7EF21F064F2161345F53V3P9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CC1EDB2299F33C0E7CC362E7571774BF410FC3C78F991C94ACBE2105DC7EF21F064F2161345E5CV3P0Q" TargetMode="External"/><Relationship Id="rId20" Type="http://schemas.openxmlformats.org/officeDocument/2006/relationships/hyperlink" Target="consultantplus://offline/ref=95CC1EDB2299F33C0E7CC362E7571774BF410FC4C68C991C94ACBE2105VDP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CC1EDB2299F33C0E7CC362E7571774BF4F09C0C58D991C94ACBE2105DC7EF21F064F2161345F5DV3PFQ" TargetMode="External"/><Relationship Id="rId11" Type="http://schemas.openxmlformats.org/officeDocument/2006/relationships/hyperlink" Target="consultantplus://offline/ref=95CC1EDB2299F33C0E7CC362E7571774BF4F09C0C58D991C94ACBE2105DC7EF21F064F2161345F5DV3P1Q" TargetMode="External"/><Relationship Id="rId24" Type="http://schemas.openxmlformats.org/officeDocument/2006/relationships/hyperlink" Target="consultantplus://offline/ref=95CC1EDB2299F33C0E7CC362E7571774BF4F09C0C58D991C94ACBE2105DC7EF21F064F2161345F53V3P8Q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CC1EDB2299F33C0E7CC362E7571774BF410FC3C78F991C94ACBE2105DC7EF21F064F2161345E5CV3PDQ" TargetMode="External"/><Relationship Id="rId23" Type="http://schemas.openxmlformats.org/officeDocument/2006/relationships/hyperlink" Target="consultantplus://offline/ref=95CC1EDB2299F33C0E7CC362E7571774BF4209C1C585991C94ACBE2105DC7EF21F064F2161345E5BV3PE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CC1EDB2299F33C0E7CC362E7571774BF410CC6C784991C94ACBE2105DC7EF21F064F2161345C5AV3P8Q" TargetMode="External"/><Relationship Id="rId19" Type="http://schemas.openxmlformats.org/officeDocument/2006/relationships/hyperlink" Target="consultantplus://offline/ref=95CC1EDB2299F33C0E7CC362E7571774BF4008C6CB8E991C94ACBE2105VDP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C1EDB2299F33C0E7CC362E7571774BF4F09C0C58D991C94ACBE2105DC7EF21F064F2161345F5DV3PFQ" TargetMode="External"/><Relationship Id="rId14" Type="http://schemas.openxmlformats.org/officeDocument/2006/relationships/hyperlink" Target="consultantplus://offline/ref=95CC1EDB2299F33C0E7CC362E7571774BF4F09C0C58D991C94ACBE2105DC7EF21F064F2161345F52V3P9Q" TargetMode="External"/><Relationship Id="rId22" Type="http://schemas.openxmlformats.org/officeDocument/2006/relationships/hyperlink" Target="consultantplus://offline/ref=95CC1EDB2299F33C0E7CC362E7571774BF410FC3C78F991C94ACBE2105DC7EF21F064F2161345E5FV3PA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4478</Words>
  <Characters>25530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 Грузднева</dc:creator>
  <cp:lastModifiedBy>Екатерина Николаевна Грузднева</cp:lastModifiedBy>
  <cp:revision>2</cp:revision>
  <dcterms:created xsi:type="dcterms:W3CDTF">2015-06-24T16:15:00Z</dcterms:created>
  <dcterms:modified xsi:type="dcterms:W3CDTF">2015-06-24T16:25:00Z</dcterms:modified>
</cp:coreProperties>
</file>