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64" w:rsidRPr="00180F64" w:rsidRDefault="00180F64" w:rsidP="00180F64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80F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Программы для студентов</w:t>
      </w:r>
    </w:p>
    <w:p w:rsidR="00180F64" w:rsidRDefault="00180F64" w:rsidP="00180F6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0F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Данный тип программ открыт для студентов, начиная с 2 курса </w:t>
      </w:r>
      <w:proofErr w:type="spellStart"/>
      <w:r w:rsidRPr="00180F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бакалавриата</w:t>
      </w:r>
      <w:proofErr w:type="spellEnd"/>
      <w:r w:rsidRPr="00180F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предоставляет им возможность краткосрочной стажировки в Германии. </w:t>
      </w:r>
    </w:p>
    <w:bookmarkStart w:id="0" w:name="_GoBack"/>
    <w:bookmarkEnd w:id="0"/>
    <w:p w:rsidR="00180F64" w:rsidRPr="00180F64" w:rsidRDefault="00180F64" w:rsidP="00180F64">
      <w:pP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</w:pPr>
      <w:r w:rsidRPr="00180F64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  <w:fldChar w:fldCharType="begin"/>
      </w:r>
      <w:r w:rsidRPr="00180F64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  <w:instrText xml:space="preserve"> HYPERLINK "https://www.daad.ru/ru/stipendien/" \l "5bb31f2f1d786" </w:instrText>
      </w:r>
      <w:r w:rsidRPr="00180F64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  <w:fldChar w:fldCharType="separate"/>
      </w:r>
      <w:r w:rsidRPr="00180F64">
        <w:rPr>
          <w:rFonts w:ascii="inherit" w:eastAsia="Times New Roman" w:hAnsi="inherit" w:cs="Arial"/>
          <w:b/>
          <w:bCs/>
          <w:color w:val="0060AF"/>
          <w:sz w:val="23"/>
          <w:szCs w:val="23"/>
          <w:shd w:val="clear" w:color="auto" w:fill="F3F3F3"/>
          <w:lang w:eastAsia="ru-RU"/>
        </w:rPr>
        <w:t> I. Список программ для студентов</w:t>
      </w:r>
      <w:r w:rsidRPr="00180F64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  <w:fldChar w:fldCharType="end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1526"/>
        <w:gridCol w:w="5522"/>
      </w:tblGrid>
      <w:tr w:rsidR="00180F64" w:rsidRPr="00180F64" w:rsidTr="00180F64">
        <w:tc>
          <w:tcPr>
            <w:tcW w:w="1386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555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пребывания</w:t>
            </w: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Германии</w:t>
            </w:r>
          </w:p>
        </w:tc>
        <w:tc>
          <w:tcPr>
            <w:tcW w:w="3059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</w:t>
            </w:r>
          </w:p>
        </w:tc>
      </w:tr>
      <w:tr w:rsidR="00180F64" w:rsidRPr="00180F64" w:rsidTr="00180F64">
        <w:tc>
          <w:tcPr>
            <w:tcW w:w="1386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E138C3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 Летние вузовские курсы немецкого языка в Германии </w:t>
              </w:r>
            </w:hyperlink>
            <w:r w:rsidR="00180F64"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Hochschulsommerkurse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für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ausländische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Studierende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Deutschland</w:t>
            </w:r>
            <w:proofErr w:type="spellEnd"/>
          </w:p>
        </w:tc>
        <w:tc>
          <w:tcPr>
            <w:tcW w:w="555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3059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всех специальностей с хорошими знаниями немецкого языка: 2-4-го курсов </w:t>
            </w:r>
            <w:proofErr w:type="spellStart"/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1-го курса магистратуры; 2-4-го курса </w:t>
            </w:r>
            <w:proofErr w:type="spellStart"/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шестилетнем сроке обучения — 2–5-го курсов), а также преподаватели немецкого языка вузов в возрасте до 32 лет</w:t>
            </w:r>
          </w:p>
        </w:tc>
      </w:tr>
      <w:tr w:rsidR="00180F64" w:rsidRPr="00180F64" w:rsidTr="00180F64">
        <w:tc>
          <w:tcPr>
            <w:tcW w:w="1386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E138C3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 Ознакомительные поездки студенческих групп в Германию </w:t>
              </w:r>
            </w:hyperlink>
            <w:r w:rsidR="00180F64"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Studienreisen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für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Gruppen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von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ausländischen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Studierenden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Deutschland</w:t>
            </w:r>
            <w:proofErr w:type="spellEnd"/>
          </w:p>
        </w:tc>
        <w:tc>
          <w:tcPr>
            <w:tcW w:w="555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дней</w:t>
            </w:r>
          </w:p>
        </w:tc>
        <w:tc>
          <w:tcPr>
            <w:tcW w:w="3059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2-го, 3-го, 4-го, 5-го и 6-го курсов всех специальностей под руководством одного преподавателя.</w:t>
            </w:r>
          </w:p>
        </w:tc>
      </w:tr>
      <w:tr w:rsidR="00180F64" w:rsidRPr="00180F64" w:rsidTr="00180F64">
        <w:tc>
          <w:tcPr>
            <w:tcW w:w="1386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E138C3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 PAD </w:t>
              </w:r>
            </w:hyperlink>
            <w:r w:rsidR="00180F64"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для языковых ассистентов</w:t>
            </w:r>
          </w:p>
        </w:tc>
        <w:tc>
          <w:tcPr>
            <w:tcW w:w="555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059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Cтуденты</w:t>
            </w:r>
            <w:proofErr w:type="spellEnd"/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-германисты 4-го, 5-го и 6-го курсов педагогических вузов.</w:t>
            </w:r>
          </w:p>
        </w:tc>
      </w:tr>
    </w:tbl>
    <w:p w:rsidR="00180F64" w:rsidRPr="00180F64" w:rsidRDefault="00180F64" w:rsidP="00180F6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0F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80F64" w:rsidRPr="00180F64" w:rsidRDefault="00180F64" w:rsidP="00180F64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80F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Программы последипломного обучения</w:t>
      </w:r>
    </w:p>
    <w:p w:rsidR="00180F64" w:rsidRPr="00180F64" w:rsidRDefault="00180F64" w:rsidP="00180F6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0F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Программы последипломного обучения рассчитаны на выпускников вузов различных специальностей и предоставляют возможность защиты магистерской диссертации в немецком вузе. </w:t>
      </w:r>
    </w:p>
    <w:p w:rsidR="00180F64" w:rsidRPr="00180F64" w:rsidRDefault="00E138C3" w:rsidP="00180F64">
      <w:pP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</w:pPr>
      <w:hyperlink r:id="rId9" w:anchor="5bb31f2f1d8cb" w:history="1">
        <w:r w:rsidR="00180F64" w:rsidRPr="00180F64">
          <w:rPr>
            <w:rFonts w:ascii="inherit" w:eastAsia="Times New Roman" w:hAnsi="inherit" w:cs="Arial"/>
            <w:b/>
            <w:bCs/>
            <w:color w:val="0060AF"/>
            <w:sz w:val="23"/>
            <w:szCs w:val="23"/>
            <w:shd w:val="clear" w:color="auto" w:fill="F3F3F3"/>
            <w:lang w:eastAsia="ru-RU"/>
          </w:rPr>
          <w:t> II. Список программ для последипломного обучения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4"/>
        <w:gridCol w:w="1526"/>
        <w:gridCol w:w="4655"/>
      </w:tblGrid>
      <w:tr w:rsidR="00180F64" w:rsidRPr="00180F64" w:rsidTr="00180F64">
        <w:tc>
          <w:tcPr>
            <w:tcW w:w="1878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33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пребывания</w:t>
            </w: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Германии</w:t>
            </w:r>
          </w:p>
        </w:tc>
        <w:tc>
          <w:tcPr>
            <w:tcW w:w="2489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</w:t>
            </w:r>
          </w:p>
        </w:tc>
      </w:tr>
      <w:tr w:rsidR="00180F64" w:rsidRPr="00180F64" w:rsidTr="00180F64">
        <w:tc>
          <w:tcPr>
            <w:tcW w:w="1878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E138C3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Cтипендии</w:t>
              </w:r>
              <w:proofErr w:type="spellEnd"/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 xml:space="preserve"> для </w:t>
              </w:r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lastRenderedPageBreak/>
                <w:t>последипломного обучения для выпускников вузов всех специальностей </w:t>
              </w:r>
            </w:hyperlink>
            <w:r w:rsidR="00180F64"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Studienstipendien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für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ausländische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Graduierte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aller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wissenschaftlichen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Fächer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Study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Scholarships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for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Graduates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of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All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Disciplines</w:t>
            </w:r>
            <w:proofErr w:type="spellEnd"/>
          </w:p>
        </w:tc>
        <w:tc>
          <w:tcPr>
            <w:tcW w:w="633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10 </w:t>
            </w: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месяцев до</w:t>
            </w: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2-х лет</w:t>
            </w:r>
          </w:p>
        </w:tc>
        <w:tc>
          <w:tcPr>
            <w:tcW w:w="2489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Выпускники вузов всех специальностей, </w:t>
            </w: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получившие диплом специалиста, магистра или бакалавра не ранее 2012 года. Заявку могут подавать и студенты выпускных курсов вузов, которые до начала обучения в Германии (до 01.10.2019) получат диплом о высшем образовании.</w:t>
            </w:r>
          </w:p>
        </w:tc>
      </w:tr>
      <w:tr w:rsidR="00180F64" w:rsidRPr="00180F64" w:rsidTr="00180F64">
        <w:tc>
          <w:tcPr>
            <w:tcW w:w="1878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E138C3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 „</w:t>
              </w:r>
              <w:proofErr w:type="spellStart"/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European</w:t>
              </w:r>
              <w:proofErr w:type="spellEnd"/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Recovery</w:t>
              </w:r>
              <w:proofErr w:type="spellEnd"/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Program</w:t>
              </w:r>
              <w:proofErr w:type="spellEnd"/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” (ERP) - Стипендии для экономистов для обучения в магистратуре </w:t>
              </w:r>
            </w:hyperlink>
            <w:r w:rsidR="00180F64"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ERP-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Studienstipendien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für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Graduierte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der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Wirtschaftswissenschaften</w:t>
            </w:r>
            <w:proofErr w:type="spellEnd"/>
          </w:p>
        </w:tc>
        <w:tc>
          <w:tcPr>
            <w:tcW w:w="633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 месяца</w:t>
            </w:r>
          </w:p>
        </w:tc>
        <w:tc>
          <w:tcPr>
            <w:tcW w:w="2489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вузов (в том числе бакалавры) экономических специальностей, получившие диплом специалиста, магистра или бакалавра не ранее 2012 года.</w:t>
            </w:r>
          </w:p>
        </w:tc>
      </w:tr>
      <w:tr w:rsidR="00180F64" w:rsidRPr="00180F64" w:rsidTr="00180F64">
        <w:tc>
          <w:tcPr>
            <w:tcW w:w="1878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E138C3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Cтипендии</w:t>
              </w:r>
              <w:proofErr w:type="spellEnd"/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 xml:space="preserve"> для последипломного обучения для выпускников вузов по специальности «Архитектура» </w:t>
              </w:r>
            </w:hyperlink>
            <w:r w:rsidR="00180F64"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Stipendien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für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Künstler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und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Architekten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Studienstipendien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3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месяцев до 2-х лет</w:t>
            </w:r>
          </w:p>
        </w:tc>
        <w:tc>
          <w:tcPr>
            <w:tcW w:w="2489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профильных вузов по специальности архитектура, получившие диплом специалиста, магистра или бакалавра не ранее, чем 6 лет назад.</w:t>
            </w:r>
          </w:p>
        </w:tc>
      </w:tr>
      <w:tr w:rsidR="00180F64" w:rsidRPr="00180F64" w:rsidTr="00180F64">
        <w:tc>
          <w:tcPr>
            <w:tcW w:w="1878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E138C3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 Стипендии для последипломного обучения по специальностям «Изобразительное искусство», «Дизайн/ визуальная коммуникация», «Кинематография» </w:t>
              </w:r>
            </w:hyperlink>
            <w:r w:rsidR="00180F64"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Studienstipendien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für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ausländische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Graduierte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Fachbereichen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Bildende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Kunst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Design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visuelle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Kommunikation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und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Film</w:t>
            </w:r>
            <w:proofErr w:type="spellEnd"/>
          </w:p>
        </w:tc>
        <w:tc>
          <w:tcPr>
            <w:tcW w:w="633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месяцев до 2-х лет</w:t>
            </w:r>
          </w:p>
        </w:tc>
        <w:tc>
          <w:tcPr>
            <w:tcW w:w="2489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профильных вузов по специальностям «Изобразительное искусство», «Дизайн/ визуальная коммуникация», «Кинематография», получившие диплом специалиста, магистра или бакалавра не ранее, чем 6 лет назад.</w:t>
            </w:r>
          </w:p>
        </w:tc>
      </w:tr>
      <w:tr w:rsidR="00180F64" w:rsidRPr="00180F64" w:rsidTr="00180F64">
        <w:tc>
          <w:tcPr>
            <w:tcW w:w="1878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E138C3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 Стипендии для последипломного обучения по специальностям «Актерское мастерство», «Режиссура», «Мюзикл», «</w:t>
              </w:r>
              <w:proofErr w:type="spellStart"/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Перформанс</w:t>
              </w:r>
              <w:proofErr w:type="spellEnd"/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 xml:space="preserve">», </w:t>
              </w:r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lastRenderedPageBreak/>
                <w:t>«Танец», «Хореография» </w:t>
              </w:r>
            </w:hyperlink>
            <w:r w:rsidR="00180F64"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Studienstipendien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für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ausländische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Graduierte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im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Fachbereich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der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Darstellenden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Kunst</w:t>
            </w:r>
            <w:proofErr w:type="spellEnd"/>
          </w:p>
        </w:tc>
        <w:tc>
          <w:tcPr>
            <w:tcW w:w="633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10 месяцев до 2-х лет</w:t>
            </w:r>
          </w:p>
        </w:tc>
        <w:tc>
          <w:tcPr>
            <w:tcW w:w="2489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профильных вузов по специальностям «Актерское мастерство», «Режиссура», «Мюзикл», «</w:t>
            </w:r>
            <w:proofErr w:type="spellStart"/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Перформанс</w:t>
            </w:r>
            <w:proofErr w:type="spellEnd"/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«Танец», «Хореография», получившие диплом специалиста, магистра или </w:t>
            </w: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бакалавра не ранее, чем 6 лет назад.</w:t>
            </w:r>
          </w:p>
        </w:tc>
      </w:tr>
      <w:tr w:rsidR="00180F64" w:rsidRPr="00180F64" w:rsidTr="00180F64">
        <w:tc>
          <w:tcPr>
            <w:tcW w:w="1878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E138C3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 Стипендии для последипломного обучения по специальности «Музыка» </w:t>
              </w:r>
            </w:hyperlink>
            <w:r w:rsidR="00180F64"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Studienstipendien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für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ausländische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Graduierte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im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Fachbereich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Musik</w:t>
            </w:r>
            <w:proofErr w:type="spellEnd"/>
          </w:p>
        </w:tc>
        <w:tc>
          <w:tcPr>
            <w:tcW w:w="633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месяцев до 2-х лет</w:t>
            </w:r>
          </w:p>
        </w:tc>
        <w:tc>
          <w:tcPr>
            <w:tcW w:w="2489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профильных вузов по специальности «Музыка», получившие диплом специалиста, магистра или бакалавра не ранее, чем 6 лет назад.</w:t>
            </w:r>
          </w:p>
        </w:tc>
      </w:tr>
    </w:tbl>
    <w:p w:rsidR="00180F64" w:rsidRPr="00180F64" w:rsidRDefault="00180F64" w:rsidP="00180F64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80F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Программы для аспирантов и ученых</w:t>
      </w:r>
    </w:p>
    <w:p w:rsidR="00180F64" w:rsidRPr="00180F64" w:rsidRDefault="00180F64" w:rsidP="00180F6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0F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Программы для аспирантов и ученых открыты для тех, кто, как минимум, уже получил высшее образование и намерен реализовать кратко-, средне- или долгосрочный исследовательский проект.  </w:t>
      </w:r>
    </w:p>
    <w:p w:rsidR="00180F64" w:rsidRPr="00180F64" w:rsidRDefault="00E138C3" w:rsidP="00180F64">
      <w:pP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</w:pPr>
      <w:hyperlink r:id="rId16" w:anchor="5bb31f2f1da22" w:history="1">
        <w:r w:rsidR="00180F64" w:rsidRPr="00180F64">
          <w:rPr>
            <w:rFonts w:ascii="inherit" w:eastAsia="Times New Roman" w:hAnsi="inherit" w:cs="Arial"/>
            <w:b/>
            <w:bCs/>
            <w:color w:val="0060AF"/>
            <w:sz w:val="23"/>
            <w:szCs w:val="23"/>
            <w:shd w:val="clear" w:color="auto" w:fill="F3F3F3"/>
            <w:lang w:eastAsia="ru-RU"/>
          </w:rPr>
          <w:t> III. Список программ для аспирантов и ученых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3"/>
        <w:gridCol w:w="1879"/>
        <w:gridCol w:w="3743"/>
      </w:tblGrid>
      <w:tr w:rsidR="00180F64" w:rsidRPr="00180F64" w:rsidTr="00180F64">
        <w:tc>
          <w:tcPr>
            <w:tcW w:w="1728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940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пребывания</w:t>
            </w: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Германии</w:t>
            </w:r>
          </w:p>
        </w:tc>
        <w:tc>
          <w:tcPr>
            <w:tcW w:w="2332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</w:t>
            </w:r>
          </w:p>
        </w:tc>
      </w:tr>
      <w:tr w:rsidR="00180F64" w:rsidRPr="00180F64" w:rsidTr="00180F64">
        <w:tc>
          <w:tcPr>
            <w:tcW w:w="1728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E138C3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 Научно-исследовательские стипендии – Краткосрочные стипендии </w:t>
              </w:r>
            </w:hyperlink>
            <w:r w:rsidR="00180F64"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Forschungsstipendien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Kurzstipendien</w:t>
            </w:r>
            <w:proofErr w:type="spellEnd"/>
          </w:p>
        </w:tc>
        <w:tc>
          <w:tcPr>
            <w:tcW w:w="940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6 месяцев</w:t>
            </w:r>
          </w:p>
        </w:tc>
        <w:tc>
          <w:tcPr>
            <w:tcW w:w="2332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российских вузов всех специальностей, получившие диплом специалиста или магистра не ранее 2012 года, аспиранты, поступившие в аспирантуру российского вуза или подразделения РАН не ранее 2015 года, кандидаты наук, защитившие диссертацию не ранее 2014 года.</w:t>
            </w:r>
          </w:p>
        </w:tc>
      </w:tr>
      <w:tr w:rsidR="00180F64" w:rsidRPr="00180F64" w:rsidTr="00180F64">
        <w:tc>
          <w:tcPr>
            <w:tcW w:w="1728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E138C3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 Научно-исследовательские стипендии – Годовые стипендии </w:t>
              </w:r>
            </w:hyperlink>
            <w:r w:rsidR="00180F64"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Forschungsstipendien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Jahresstipendien</w:t>
            </w:r>
            <w:proofErr w:type="spellEnd"/>
          </w:p>
        </w:tc>
        <w:tc>
          <w:tcPr>
            <w:tcW w:w="940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10 месяцев</w:t>
            </w:r>
          </w:p>
        </w:tc>
        <w:tc>
          <w:tcPr>
            <w:tcW w:w="2332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российских вузов всех специальностей, получившие диплом специалиста или магистра не ранее 2012 года, аспиранты, поступившие в аспирантуру российского вуза или подразделения РАН не ранее 2015 года.</w:t>
            </w:r>
          </w:p>
        </w:tc>
      </w:tr>
      <w:tr w:rsidR="00180F64" w:rsidRPr="00180F64" w:rsidTr="00180F64">
        <w:trPr>
          <w:trHeight w:val="5670"/>
        </w:trPr>
        <w:tc>
          <w:tcPr>
            <w:tcW w:w="1728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E138C3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Научно-исследовательские стипендии – Программа аспирантуры под двойным руководством</w:t>
              </w:r>
            </w:hyperlink>
            <w:r w:rsidR="00180F64"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Forschungsstipendien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Bi-national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betreute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Promotionen</w:t>
            </w:r>
            <w:proofErr w:type="spellEnd"/>
          </w:p>
        </w:tc>
        <w:tc>
          <w:tcPr>
            <w:tcW w:w="940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2332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ученые из российских вузов, получившие диплом специалиста или магистра не ранее 2012 года, а также аспиранты, поступившие в аспирантуру российского вуза не ранее 2015 года.</w:t>
            </w:r>
          </w:p>
        </w:tc>
      </w:tr>
      <w:tr w:rsidR="00180F64" w:rsidRPr="00180F64" w:rsidTr="00180F64">
        <w:trPr>
          <w:trHeight w:val="5670"/>
        </w:trPr>
        <w:tc>
          <w:tcPr>
            <w:tcW w:w="1728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E138C3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 Программа «Михаил Ломоносов» </w:t>
              </w:r>
            </w:hyperlink>
            <w:r w:rsidR="00180F64"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Michail-Lomonosov-Forschungsstipendien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und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aufenthalte</w:t>
            </w:r>
            <w:proofErr w:type="spellEnd"/>
          </w:p>
        </w:tc>
        <w:tc>
          <w:tcPr>
            <w:tcW w:w="940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numPr>
                <w:ilvl w:val="0"/>
                <w:numId w:val="2"/>
              </w:numPr>
              <w:spacing w:before="100" w:beforeAutospacing="1" w:after="1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6 месяцев</w:t>
            </w:r>
          </w:p>
          <w:p w:rsidR="00180F64" w:rsidRPr="00180F64" w:rsidRDefault="00180F64" w:rsidP="00180F64">
            <w:pPr>
              <w:numPr>
                <w:ilvl w:val="0"/>
                <w:numId w:val="2"/>
              </w:numPr>
              <w:spacing w:before="100" w:beforeAutospacing="1" w:after="1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3 месяца</w:t>
            </w:r>
          </w:p>
        </w:tc>
        <w:tc>
          <w:tcPr>
            <w:tcW w:w="2332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в области естественных и технических наук исключительно из вузов, подведомственных </w:t>
            </w:r>
            <w:hyperlink r:id="rId21" w:tgtFrame="_blank" w:tooltip="Открыть ссылку в новом окне" w:history="1">
              <w:r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Министерству науки и высшего образования РФ</w:t>
              </w:r>
            </w:hyperlink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0F64" w:rsidRPr="00180F64" w:rsidRDefault="00180F64" w:rsidP="00180F64">
            <w:pPr>
              <w:numPr>
                <w:ilvl w:val="0"/>
                <w:numId w:val="3"/>
              </w:numPr>
              <w:spacing w:before="100" w:beforeAutospacing="1" w:after="1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аспиранты и молодые преподаватели в возрасте до 35 лет;</w:t>
            </w:r>
          </w:p>
          <w:p w:rsidR="00180F64" w:rsidRPr="00180F64" w:rsidRDefault="00180F64" w:rsidP="00180F64">
            <w:pPr>
              <w:numPr>
                <w:ilvl w:val="0"/>
                <w:numId w:val="3"/>
              </w:numPr>
              <w:spacing w:before="100" w:beforeAutospacing="1" w:after="1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ученые со степенью кандидата или доктора наук в возрасте до 45 лет.</w:t>
            </w:r>
          </w:p>
        </w:tc>
      </w:tr>
      <w:tr w:rsidR="00180F64" w:rsidRPr="00180F64" w:rsidTr="00180F64">
        <w:tc>
          <w:tcPr>
            <w:tcW w:w="1728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E138C3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 Программа «</w:t>
              </w:r>
              <w:proofErr w:type="spellStart"/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Иммануил</w:t>
              </w:r>
              <w:proofErr w:type="spellEnd"/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 xml:space="preserve"> Кант» </w:t>
              </w:r>
            </w:hyperlink>
            <w:r w:rsidR="00180F64"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Immanuel-Kant-Forschungsstipendien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und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aufenthalte</w:t>
            </w:r>
            <w:proofErr w:type="spellEnd"/>
          </w:p>
        </w:tc>
        <w:tc>
          <w:tcPr>
            <w:tcW w:w="940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numPr>
                <w:ilvl w:val="0"/>
                <w:numId w:val="4"/>
              </w:numPr>
              <w:spacing w:before="100" w:beforeAutospacing="1" w:after="1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6 месяцев</w:t>
            </w:r>
          </w:p>
          <w:p w:rsidR="00180F64" w:rsidRPr="00180F64" w:rsidRDefault="00180F64" w:rsidP="00180F64">
            <w:pPr>
              <w:numPr>
                <w:ilvl w:val="0"/>
                <w:numId w:val="4"/>
              </w:numPr>
              <w:spacing w:before="100" w:beforeAutospacing="1" w:after="1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3 месяца</w:t>
            </w:r>
          </w:p>
        </w:tc>
        <w:tc>
          <w:tcPr>
            <w:tcW w:w="2332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в области гуманитарных, социальных, правовых и экономических наук исключительно из вузов, подведомственных </w:t>
            </w:r>
            <w:hyperlink r:id="rId23" w:tgtFrame="_blank" w:tooltip="Открыть ссылку в новом окне" w:history="1">
              <w:r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 xml:space="preserve">Министерству науки и высшего образования </w:t>
              </w:r>
              <w:r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lastRenderedPageBreak/>
                <w:t>РФ</w:t>
              </w:r>
            </w:hyperlink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0F64" w:rsidRPr="00180F64" w:rsidRDefault="00180F64" w:rsidP="00180F64">
            <w:pPr>
              <w:numPr>
                <w:ilvl w:val="0"/>
                <w:numId w:val="5"/>
              </w:numPr>
              <w:spacing w:before="100" w:beforeAutospacing="1" w:after="1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аспиранты и молодые преподаватели в возрасте до 35 лет;</w:t>
            </w:r>
          </w:p>
          <w:p w:rsidR="00180F64" w:rsidRPr="00180F64" w:rsidRDefault="00180F64" w:rsidP="00180F64">
            <w:pPr>
              <w:numPr>
                <w:ilvl w:val="0"/>
                <w:numId w:val="5"/>
              </w:numPr>
              <w:spacing w:before="100" w:beforeAutospacing="1" w:after="1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ученые со степенью кандидата или доктора наук в возрасте до 40 лет.</w:t>
            </w:r>
          </w:p>
        </w:tc>
      </w:tr>
      <w:tr w:rsidR="00180F64" w:rsidRPr="00180F64" w:rsidTr="00180F64">
        <w:tc>
          <w:tcPr>
            <w:tcW w:w="1728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E138C3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 Научные стажировки для ученых и преподавателей вузов: 1 - 3 месяца </w:t>
              </w:r>
            </w:hyperlink>
            <w:r w:rsidR="00180F64"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Forschungsaufenthalte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für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Hochschullehrer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und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Wissenschaftler</w:t>
            </w:r>
            <w:proofErr w:type="spellEnd"/>
          </w:p>
        </w:tc>
        <w:tc>
          <w:tcPr>
            <w:tcW w:w="940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месяца</w:t>
            </w:r>
          </w:p>
        </w:tc>
        <w:tc>
          <w:tcPr>
            <w:tcW w:w="2332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ученые всех специальностей, имеющие, как правило, степень кандидата или доктора наук.</w:t>
            </w:r>
          </w:p>
        </w:tc>
      </w:tr>
      <w:tr w:rsidR="00180F64" w:rsidRPr="00180F64" w:rsidTr="00180F64">
        <w:tc>
          <w:tcPr>
            <w:tcW w:w="1728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E138C3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Программа двустороннего обмена для ученых  </w:t>
              </w:r>
            </w:hyperlink>
            <w:r w:rsidR="00180F64"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                           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Bilateraler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Wissenschaftleraustausch</w:t>
            </w:r>
            <w:proofErr w:type="spellEnd"/>
          </w:p>
          <w:p w:rsidR="00180F64" w:rsidRPr="00180F64" w:rsidRDefault="00180F64" w:rsidP="00180F6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дней до 3 месяцев</w:t>
            </w:r>
          </w:p>
        </w:tc>
        <w:tc>
          <w:tcPr>
            <w:tcW w:w="2332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Ученые, имеющие, как правило, степень кандидата наук и работающие в российском вузе или научно-исследовательском институте/ центре.</w:t>
            </w:r>
          </w:p>
        </w:tc>
      </w:tr>
      <w:tr w:rsidR="00180F64" w:rsidRPr="00180F64" w:rsidTr="00180F64">
        <w:trPr>
          <w:trHeight w:val="1410"/>
        </w:trPr>
        <w:tc>
          <w:tcPr>
            <w:tcW w:w="1728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E138C3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 Стипендии для бывших годовых стипендиатов DAAD </w:t>
              </w:r>
            </w:hyperlink>
            <w:r w:rsidR="00180F64"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Wiedereinladungen</w:t>
            </w:r>
            <w:proofErr w:type="spellEnd"/>
          </w:p>
        </w:tc>
        <w:tc>
          <w:tcPr>
            <w:tcW w:w="940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месяца</w:t>
            </w:r>
          </w:p>
        </w:tc>
        <w:tc>
          <w:tcPr>
            <w:tcW w:w="2332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годовые стипендиаты DAAD.</w:t>
            </w:r>
          </w:p>
        </w:tc>
      </w:tr>
      <w:tr w:rsidR="00180F64" w:rsidRPr="00180F64" w:rsidTr="00180F64">
        <w:trPr>
          <w:trHeight w:val="2970"/>
        </w:trPr>
        <w:tc>
          <w:tcPr>
            <w:tcW w:w="1728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E138C3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 Программа «Дмитрий Менделеев» </w:t>
              </w:r>
            </w:hyperlink>
            <w:r w:rsidR="00180F64"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Dmitrij-Mendeleev-Forschungsstipendien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und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aufenthalte</w:t>
            </w:r>
            <w:proofErr w:type="spellEnd"/>
          </w:p>
        </w:tc>
        <w:tc>
          <w:tcPr>
            <w:tcW w:w="940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numPr>
                <w:ilvl w:val="0"/>
                <w:numId w:val="6"/>
              </w:numPr>
              <w:spacing w:before="100" w:beforeAutospacing="1" w:after="1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6 месяцев</w:t>
            </w:r>
          </w:p>
          <w:p w:rsidR="00180F64" w:rsidRPr="00180F64" w:rsidRDefault="00180F64" w:rsidP="00180F64">
            <w:pPr>
              <w:numPr>
                <w:ilvl w:val="0"/>
                <w:numId w:val="6"/>
              </w:numPr>
              <w:spacing w:before="100" w:beforeAutospacing="1" w:after="1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3 месяца</w:t>
            </w:r>
          </w:p>
        </w:tc>
        <w:tc>
          <w:tcPr>
            <w:tcW w:w="2332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СПбГУ:</w:t>
            </w:r>
          </w:p>
          <w:p w:rsidR="00180F64" w:rsidRPr="00180F64" w:rsidRDefault="00180F64" w:rsidP="00180F64">
            <w:pPr>
              <w:numPr>
                <w:ilvl w:val="0"/>
                <w:numId w:val="7"/>
              </w:numPr>
              <w:spacing w:before="100" w:beforeAutospacing="1" w:after="1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аспиранты, имеющие диплом и степень специалиста или магистра;</w:t>
            </w:r>
          </w:p>
          <w:p w:rsidR="00180F64" w:rsidRPr="00180F64" w:rsidRDefault="00180F64" w:rsidP="00180F64">
            <w:pPr>
              <w:numPr>
                <w:ilvl w:val="0"/>
                <w:numId w:val="7"/>
              </w:numPr>
              <w:spacing w:before="100" w:beforeAutospacing="1" w:after="1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преподаватели и ученые со степенью кандидата или доктора наук в возрасте до 45 лет</w:t>
            </w:r>
          </w:p>
        </w:tc>
      </w:tr>
      <w:tr w:rsidR="00180F64" w:rsidRPr="00180F64" w:rsidTr="00180F64">
        <w:tc>
          <w:tcPr>
            <w:tcW w:w="1728" w:type="pct"/>
            <w:tcBorders>
              <w:top w:val="dotted" w:sz="6" w:space="0" w:color="999999"/>
              <w:left w:val="nil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E138C3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180F64" w:rsidRPr="00180F64">
                <w:rPr>
                  <w:rFonts w:ascii="Times New Roman" w:eastAsia="Times New Roman" w:hAnsi="Times New Roman" w:cs="Times New Roman"/>
                  <w:color w:val="0060AF"/>
                  <w:sz w:val="24"/>
                  <w:szCs w:val="24"/>
                  <w:lang w:eastAsia="ru-RU"/>
                </w:rPr>
                <w:t>Программа «Павел Мельников»</w:t>
              </w:r>
            </w:hyperlink>
            <w:r w:rsidR="00180F64"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Pavel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Melnikov-Forschungsstipendien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und</w:t>
            </w:r>
            <w:proofErr w:type="spellEnd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="00180F64" w:rsidRPr="0018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aufenthalte</w:t>
            </w:r>
            <w:proofErr w:type="spellEnd"/>
          </w:p>
        </w:tc>
        <w:tc>
          <w:tcPr>
            <w:tcW w:w="940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single" w:sz="6" w:space="0" w:color="C2C2C2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numPr>
                <w:ilvl w:val="0"/>
                <w:numId w:val="8"/>
              </w:numPr>
              <w:spacing w:before="100" w:beforeAutospacing="1" w:after="1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 (для аспирантов)</w:t>
            </w:r>
          </w:p>
          <w:p w:rsidR="00180F64" w:rsidRPr="00180F64" w:rsidRDefault="00180F64" w:rsidP="00180F64">
            <w:pPr>
              <w:numPr>
                <w:ilvl w:val="0"/>
                <w:numId w:val="8"/>
              </w:numPr>
              <w:spacing w:before="100" w:beforeAutospacing="1" w:after="1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 (для кандидатов наук и доцентов)</w:t>
            </w:r>
          </w:p>
        </w:tc>
        <w:tc>
          <w:tcPr>
            <w:tcW w:w="2332" w:type="pct"/>
            <w:tcBorders>
              <w:top w:val="dotted" w:sz="6" w:space="0" w:color="999999"/>
              <w:left w:val="single" w:sz="6" w:space="0" w:color="C2C2C2"/>
              <w:bottom w:val="dotted" w:sz="6" w:space="0" w:color="999999"/>
              <w:right w:val="nil"/>
            </w:tcBorders>
            <w:shd w:val="clear" w:color="auto" w:fill="FDF1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0F64" w:rsidRPr="00180F64" w:rsidRDefault="00180F64" w:rsidP="00180F6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Аспиранты и сотрудники транспортных вузов, подведомственных Министерству транспорта Российской Федерации и входящих в возглавляемую </w:t>
            </w:r>
            <w:r w:rsidRPr="0018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ректором Российского университета транспорта (МИИТ) Ассоциацию.</w:t>
            </w:r>
          </w:p>
        </w:tc>
      </w:tr>
    </w:tbl>
    <w:p w:rsidR="00180F64" w:rsidRPr="00180F64" w:rsidRDefault="00180F64" w:rsidP="00180F6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0F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8F2B93" w:rsidRDefault="008F2B93"/>
    <w:sectPr w:rsidR="008F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433"/>
    <w:multiLevelType w:val="multilevel"/>
    <w:tmpl w:val="E59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11EF1"/>
    <w:multiLevelType w:val="multilevel"/>
    <w:tmpl w:val="66CC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A5F45"/>
    <w:multiLevelType w:val="multilevel"/>
    <w:tmpl w:val="6EE2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65E67"/>
    <w:multiLevelType w:val="multilevel"/>
    <w:tmpl w:val="E584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B35BA"/>
    <w:multiLevelType w:val="multilevel"/>
    <w:tmpl w:val="B7CE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47668"/>
    <w:multiLevelType w:val="multilevel"/>
    <w:tmpl w:val="787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27C6E"/>
    <w:multiLevelType w:val="multilevel"/>
    <w:tmpl w:val="94EE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F005E"/>
    <w:multiLevelType w:val="multilevel"/>
    <w:tmpl w:val="6502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64"/>
    <w:rsid w:val="00180F64"/>
    <w:rsid w:val="008F2B93"/>
    <w:rsid w:val="00DF7DB9"/>
    <w:rsid w:val="00E1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0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0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F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norm">
    <w:name w:val="body_textnorm"/>
    <w:basedOn w:val="a0"/>
    <w:rsid w:val="00180F64"/>
  </w:style>
  <w:style w:type="paragraph" w:customStyle="1" w:styleId="bodytextnorm1">
    <w:name w:val="body_textnorm1"/>
    <w:basedOn w:val="a"/>
    <w:rsid w:val="001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F64"/>
    <w:rPr>
      <w:b/>
      <w:bCs/>
    </w:rPr>
  </w:style>
  <w:style w:type="character" w:styleId="a5">
    <w:name w:val="Hyperlink"/>
    <w:basedOn w:val="a0"/>
    <w:uiPriority w:val="99"/>
    <w:semiHidden/>
    <w:unhideWhenUsed/>
    <w:rsid w:val="00180F64"/>
    <w:rPr>
      <w:color w:val="0000FF"/>
      <w:u w:val="single"/>
    </w:rPr>
  </w:style>
  <w:style w:type="character" w:styleId="a6">
    <w:name w:val="Emphasis"/>
    <w:basedOn w:val="a0"/>
    <w:uiPriority w:val="20"/>
    <w:qFormat/>
    <w:rsid w:val="00180F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0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0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F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norm">
    <w:name w:val="body_textnorm"/>
    <w:basedOn w:val="a0"/>
    <w:rsid w:val="00180F64"/>
  </w:style>
  <w:style w:type="paragraph" w:customStyle="1" w:styleId="bodytextnorm1">
    <w:name w:val="body_textnorm1"/>
    <w:basedOn w:val="a"/>
    <w:rsid w:val="001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F64"/>
    <w:rPr>
      <w:b/>
      <w:bCs/>
    </w:rPr>
  </w:style>
  <w:style w:type="character" w:styleId="a5">
    <w:name w:val="Hyperlink"/>
    <w:basedOn w:val="a0"/>
    <w:uiPriority w:val="99"/>
    <w:semiHidden/>
    <w:unhideWhenUsed/>
    <w:rsid w:val="00180F64"/>
    <w:rPr>
      <w:color w:val="0000FF"/>
      <w:u w:val="single"/>
    </w:rPr>
  </w:style>
  <w:style w:type="character" w:styleId="a6">
    <w:name w:val="Emphasis"/>
    <w:basedOn w:val="a0"/>
    <w:uiPriority w:val="20"/>
    <w:qFormat/>
    <w:rsid w:val="00180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3F3F3"/>
                <w:bottom w:val="single" w:sz="6" w:space="11" w:color="F3F3F3"/>
                <w:right w:val="single" w:sz="6" w:space="11" w:color="F3F3F3"/>
              </w:divBdr>
              <w:divsChild>
                <w:div w:id="5382048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67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3F3F3"/>
                <w:bottom w:val="single" w:sz="6" w:space="11" w:color="F3F3F3"/>
                <w:right w:val="single" w:sz="6" w:space="11" w:color="F3F3F3"/>
              </w:divBdr>
              <w:divsChild>
                <w:div w:id="9403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338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3F3F3"/>
                <w:bottom w:val="single" w:sz="6" w:space="11" w:color="F3F3F3"/>
                <w:right w:val="single" w:sz="6" w:space="11" w:color="F3F3F3"/>
              </w:divBdr>
              <w:divsChild>
                <w:div w:id="614412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ad.ru/ru/stipendien/pad/" TargetMode="External"/><Relationship Id="rId13" Type="http://schemas.openxmlformats.org/officeDocument/2006/relationships/hyperlink" Target="https://www.daad.ru/ru/stipendien/izobrazitelnoe-iskusstvo/" TargetMode="External"/><Relationship Id="rId18" Type="http://schemas.openxmlformats.org/officeDocument/2006/relationships/hyperlink" Target="https://www.daad.ru/ru/stipendien/godovye-stipendii/" TargetMode="External"/><Relationship Id="rId26" Type="http://schemas.openxmlformats.org/officeDocument/2006/relationships/hyperlink" Target="https://www.daad.ru/ru/stipendien/stipendii-dlya-byvshih-godovyh-stipen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80abucjiibhv9a.xn--p1ai/%D0%BE%D1%80%D0%B3%D0%B0%D0%BD%D0%B8%D0%B7%D0%B0%D1%86%D0%B8%D0%B8/%D0%BF%D0%BE%D0%B4%D0%B2%D0%B5%D0%B4%D0%BE%D0%BC%D1%81%D1%82%D0%B2%D0%B5%D0%BD%D0%BD%D1%8B%D0%B5" TargetMode="External"/><Relationship Id="rId7" Type="http://schemas.openxmlformats.org/officeDocument/2006/relationships/hyperlink" Target="https://www.daad.ru/ru/stipendien/oznakomitelnye-poezdki/" TargetMode="External"/><Relationship Id="rId12" Type="http://schemas.openxmlformats.org/officeDocument/2006/relationships/hyperlink" Target="https://www.daad.ru/ru/stipendien/arhitektura/" TargetMode="External"/><Relationship Id="rId17" Type="http://schemas.openxmlformats.org/officeDocument/2006/relationships/hyperlink" Target="https://www.daad.ru/ru/stipendien/kratkosrochnye-stipendii/" TargetMode="External"/><Relationship Id="rId25" Type="http://schemas.openxmlformats.org/officeDocument/2006/relationships/hyperlink" Target="https://www.daad.ru/ru/stipendien/bilater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ad.ru/ru/stipendien/" TargetMode="External"/><Relationship Id="rId20" Type="http://schemas.openxmlformats.org/officeDocument/2006/relationships/hyperlink" Target="https://www.daad.ru/ru/stipendien/mihail-lomonosov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aad.ru/ru/stipendien/letnie-vuzovskie-kursy-nemetskogo-yazy/" TargetMode="External"/><Relationship Id="rId11" Type="http://schemas.openxmlformats.org/officeDocument/2006/relationships/hyperlink" Target="https://www.daad.ru/ru/stipendien/european-recovery-program/" TargetMode="External"/><Relationship Id="rId24" Type="http://schemas.openxmlformats.org/officeDocument/2006/relationships/hyperlink" Target="https://www.daad.ru/ru/stipendien/nauchnye-stazhirov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aad.ru/ru/stipendien/muzyka/" TargetMode="External"/><Relationship Id="rId23" Type="http://schemas.openxmlformats.org/officeDocument/2006/relationships/hyperlink" Target="http://xn--80abucjiibhv9a.xn--p1ai/%D0%BE%D1%80%D0%B3%D0%B0%D0%BD%D0%B8%D0%B7%D0%B0%D1%86%D0%B8%D0%B8/%D0%BF%D0%BE%D0%B4%D0%B2%D0%B5%D0%B4%D0%BE%D0%BC%D1%81%D1%82%D0%B2%D0%B5%D0%BD%D0%BD%D1%8B%D0%B5" TargetMode="External"/><Relationship Id="rId28" Type="http://schemas.openxmlformats.org/officeDocument/2006/relationships/hyperlink" Target="https://www.daad.ru/ru/stipendien/programma-pavel-melnikov/" TargetMode="External"/><Relationship Id="rId10" Type="http://schemas.openxmlformats.org/officeDocument/2006/relationships/hyperlink" Target="https://www.daad.ru/ru/stipendien/ctipendii-dlya-poslediplomnogo-obuchen/" TargetMode="External"/><Relationship Id="rId19" Type="http://schemas.openxmlformats.org/officeDocument/2006/relationships/hyperlink" Target="https://www.daad.ru/ru/stipendien/bination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ad.ru/ru/stipendien/" TargetMode="External"/><Relationship Id="rId14" Type="http://schemas.openxmlformats.org/officeDocument/2006/relationships/hyperlink" Target="https://www.daad.ru/ru/stipendien/akterskoe-masterstvo/" TargetMode="External"/><Relationship Id="rId22" Type="http://schemas.openxmlformats.org/officeDocument/2006/relationships/hyperlink" Target="https://www.daad.ru/ru/stipendien/immanuil-kant/" TargetMode="External"/><Relationship Id="rId27" Type="http://schemas.openxmlformats.org/officeDocument/2006/relationships/hyperlink" Target="https://www.daad.ru/ru/stipendien/dmitrij-mendeleev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Халанская</dc:creator>
  <cp:lastModifiedBy>Елена Ю. Радченко</cp:lastModifiedBy>
  <cp:revision>3</cp:revision>
  <dcterms:created xsi:type="dcterms:W3CDTF">2018-10-02T08:29:00Z</dcterms:created>
  <dcterms:modified xsi:type="dcterms:W3CDTF">2018-10-02T08:30:00Z</dcterms:modified>
</cp:coreProperties>
</file>